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3D" w:rsidRDefault="0035193D" w:rsidP="0035193D">
      <w:pPr>
        <w:jc w:val="left"/>
        <w:rPr>
          <w:noProof/>
        </w:rPr>
      </w:pPr>
      <w:r>
        <w:rPr>
          <w:noProof/>
        </w:rPr>
        <w:drawing>
          <wp:inline distT="0" distB="0" distL="0" distR="0" wp14:anchorId="6D1A0876" wp14:editId="1AC39041">
            <wp:extent cx="4832350" cy="527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832350" cy="527050"/>
                    </a:xfrm>
                    <a:prstGeom prst="rect">
                      <a:avLst/>
                    </a:prstGeom>
                  </pic:spPr>
                </pic:pic>
              </a:graphicData>
            </a:graphic>
          </wp:inline>
        </w:drawing>
      </w:r>
      <w:r>
        <w:rPr>
          <w:noProof/>
        </w:rPr>
        <w:t xml:space="preserve">          </w:t>
      </w:r>
      <w:r>
        <w:rPr>
          <w:noProof/>
        </w:rPr>
        <w:drawing>
          <wp:inline distT="0" distB="0" distL="0" distR="0" wp14:anchorId="240A87C1" wp14:editId="4306B108">
            <wp:extent cx="755650" cy="584200"/>
            <wp:effectExtent l="0" t="0" r="6350" b="6350"/>
            <wp:docPr id="2" name="Picture 2" descr="LogoU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UTEP"/>
                    <pic:cNvPicPr>
                      <a:picLocks noChangeAspect="1" noChangeArrowheads="1"/>
                    </pic:cNvPicPr>
                  </pic:nvPicPr>
                  <pic:blipFill>
                    <a:blip r:embed="rId6" cstate="print"/>
                    <a:srcRect/>
                    <a:stretch>
                      <a:fillRect/>
                    </a:stretch>
                  </pic:blipFill>
                  <pic:spPr bwMode="auto">
                    <a:xfrm>
                      <a:off x="0" y="0"/>
                      <a:ext cx="755650" cy="584200"/>
                    </a:xfrm>
                    <a:prstGeom prst="rect">
                      <a:avLst/>
                    </a:prstGeom>
                    <a:noFill/>
                    <a:ln w="9525">
                      <a:noFill/>
                      <a:miter lim="800000"/>
                      <a:headEnd/>
                      <a:tailEnd/>
                    </a:ln>
                  </pic:spPr>
                </pic:pic>
              </a:graphicData>
            </a:graphic>
          </wp:inline>
        </w:drawing>
      </w:r>
    </w:p>
    <w:p w:rsidR="003018CD" w:rsidRPr="0078050B" w:rsidRDefault="003018CD">
      <w:pPr>
        <w:rPr>
          <w:rFonts w:ascii="Arial Black" w:hAnsi="Arial Black"/>
        </w:rPr>
      </w:pPr>
    </w:p>
    <w:p w:rsidR="0075570D" w:rsidRDefault="0075570D">
      <w:pPr>
        <w:rPr>
          <w:rFonts w:ascii="Arial Black" w:hAnsi="Arial Black"/>
          <w:i/>
        </w:rPr>
      </w:pPr>
    </w:p>
    <w:p w:rsidR="006B1818" w:rsidRDefault="00576EF3">
      <w:pPr>
        <w:rPr>
          <w:rFonts w:ascii="Arial Black" w:hAnsi="Arial Black"/>
          <w:i/>
        </w:rPr>
      </w:pPr>
      <w:r>
        <w:rPr>
          <w:rFonts w:ascii="Arial Black" w:hAnsi="Arial Black"/>
          <w:i/>
        </w:rPr>
        <w:t>Present</w:t>
      </w:r>
      <w:r w:rsidR="004316CA">
        <w:rPr>
          <w:rFonts w:ascii="Arial Black" w:hAnsi="Arial Black"/>
          <w:i/>
        </w:rPr>
        <w:t>s</w:t>
      </w:r>
      <w:r>
        <w:rPr>
          <w:rFonts w:ascii="Arial Black" w:hAnsi="Arial Black"/>
          <w:i/>
        </w:rPr>
        <w:t>:</w:t>
      </w:r>
    </w:p>
    <w:p w:rsidR="00CA2056" w:rsidRPr="00CA2056" w:rsidRDefault="000254E7">
      <w:pPr>
        <w:rPr>
          <w:rFonts w:ascii="Arial Black" w:hAnsi="Arial Black"/>
        </w:rPr>
      </w:pPr>
      <w:r>
        <w:rPr>
          <w:rFonts w:ascii="Arial Black" w:hAnsi="Arial Black"/>
        </w:rPr>
        <w:t>A BROWN BAG SEMINAR IN THE</w:t>
      </w:r>
    </w:p>
    <w:p w:rsidR="00EE28F2" w:rsidRDefault="006B1818">
      <w:pPr>
        <w:rPr>
          <w:rFonts w:ascii="Arial Black" w:hAnsi="Arial Black"/>
        </w:rPr>
      </w:pPr>
      <w:r w:rsidRPr="008C7600">
        <w:rPr>
          <w:rFonts w:ascii="Arial Black" w:hAnsi="Arial Black"/>
        </w:rPr>
        <w:t xml:space="preserve">WATER RESOURCES </w:t>
      </w:r>
      <w:r w:rsidR="00EE28F2" w:rsidRPr="008C7600">
        <w:rPr>
          <w:rFonts w:ascii="Arial Black" w:hAnsi="Arial Black"/>
        </w:rPr>
        <w:t>SEMINAR</w:t>
      </w:r>
      <w:r w:rsidR="000254E7">
        <w:rPr>
          <w:rFonts w:ascii="Arial Black" w:hAnsi="Arial Black"/>
        </w:rPr>
        <w:t xml:space="preserve"> SERIES</w:t>
      </w:r>
    </w:p>
    <w:p w:rsidR="005C4AC6" w:rsidRDefault="005C4AC6">
      <w:pPr>
        <w:rPr>
          <w:rFonts w:ascii="Arial Black" w:hAnsi="Arial Black"/>
        </w:rPr>
      </w:pPr>
    </w:p>
    <w:p w:rsidR="0075570D" w:rsidRDefault="0075570D" w:rsidP="005C4AC6">
      <w:pPr>
        <w:rPr>
          <w:rFonts w:eastAsia="+mj-ea" w:cs="+mj-cs"/>
          <w:b/>
          <w:kern w:val="24"/>
          <w:sz w:val="32"/>
          <w:szCs w:val="32"/>
        </w:rPr>
      </w:pPr>
    </w:p>
    <w:p w:rsidR="00592A9D" w:rsidRPr="00321AAC" w:rsidRDefault="00AA7FA8" w:rsidP="005C4AC6">
      <w:pPr>
        <w:rPr>
          <w:rFonts w:eastAsia="Droid Sans Fallback" w:cs="DejaVu Sans"/>
          <w:b/>
          <w:i/>
          <w:sz w:val="32"/>
          <w:szCs w:val="32"/>
        </w:rPr>
      </w:pPr>
      <w:bookmarkStart w:id="0" w:name="_GoBack"/>
      <w:bookmarkEnd w:id="0"/>
      <w:r w:rsidRPr="003606BB">
        <w:rPr>
          <w:rFonts w:eastAsia="+mj-ea" w:cs="+mj-cs"/>
          <w:b/>
          <w:kern w:val="24"/>
          <w:sz w:val="32"/>
          <w:szCs w:val="32"/>
        </w:rPr>
        <w:t>“</w:t>
      </w:r>
      <w:r w:rsidR="005C4AC6" w:rsidRPr="005C4AC6">
        <w:rPr>
          <w:sz w:val="40"/>
          <w:szCs w:val="40"/>
        </w:rPr>
        <w:t xml:space="preserve">Lessons Learned in </w:t>
      </w:r>
      <w:r w:rsidR="005C4AC6">
        <w:rPr>
          <w:sz w:val="40"/>
          <w:szCs w:val="40"/>
        </w:rPr>
        <w:t xml:space="preserve">the </w:t>
      </w:r>
      <w:r w:rsidR="005C4AC6" w:rsidRPr="005C4AC6">
        <w:rPr>
          <w:sz w:val="40"/>
          <w:szCs w:val="40"/>
        </w:rPr>
        <w:t>U.S.-Mexico Transboundary Aquifer Assessment</w:t>
      </w:r>
      <w:r w:rsidR="00592A9D" w:rsidRPr="00AB3393">
        <w:rPr>
          <w:rFonts w:eastAsia="Times-Bold" w:cs="Times-Bold"/>
          <w:b/>
          <w:sz w:val="32"/>
          <w:szCs w:val="32"/>
        </w:rPr>
        <w:t>”</w:t>
      </w:r>
    </w:p>
    <w:p w:rsidR="005C4AC6" w:rsidRDefault="005C4AC6">
      <w:pPr>
        <w:rPr>
          <w:rFonts w:ascii="Arial Black" w:eastAsia="Times New Roman" w:hAnsi="Arial Black"/>
          <w:i/>
        </w:rPr>
      </w:pPr>
    </w:p>
    <w:p w:rsidR="00133DE3" w:rsidRDefault="00133DE3">
      <w:pPr>
        <w:rPr>
          <w:rFonts w:ascii="Arial Black" w:eastAsia="Times New Roman" w:hAnsi="Arial Black"/>
          <w:i/>
        </w:rPr>
      </w:pPr>
      <w:proofErr w:type="gramStart"/>
      <w:r w:rsidRPr="008C7600">
        <w:rPr>
          <w:rFonts w:ascii="Arial Black" w:eastAsia="Times New Roman" w:hAnsi="Arial Black"/>
          <w:i/>
        </w:rPr>
        <w:t>by</w:t>
      </w:r>
      <w:proofErr w:type="gramEnd"/>
    </w:p>
    <w:p w:rsidR="005C4AC6" w:rsidRDefault="005C4AC6" w:rsidP="005C4AC6">
      <w:pPr>
        <w:rPr>
          <w:sz w:val="28"/>
          <w:szCs w:val="28"/>
        </w:rPr>
      </w:pPr>
    </w:p>
    <w:p w:rsidR="005C4AC6" w:rsidRDefault="005C4AC6" w:rsidP="005C4AC6">
      <w:pPr>
        <w:rPr>
          <w:sz w:val="28"/>
          <w:szCs w:val="28"/>
        </w:rPr>
      </w:pPr>
      <w:r w:rsidRPr="005C4AC6">
        <w:rPr>
          <w:sz w:val="28"/>
          <w:szCs w:val="28"/>
        </w:rPr>
        <w:t>Jacob D. Petersen-Perlman, Research Analyst</w:t>
      </w:r>
    </w:p>
    <w:p w:rsidR="005C4AC6" w:rsidRPr="005C4AC6" w:rsidRDefault="005C4AC6" w:rsidP="005C4AC6">
      <w:pPr>
        <w:rPr>
          <w:sz w:val="28"/>
          <w:szCs w:val="28"/>
        </w:rPr>
      </w:pPr>
      <w:r>
        <w:rPr>
          <w:sz w:val="28"/>
          <w:szCs w:val="28"/>
        </w:rPr>
        <w:t>&amp;</w:t>
      </w:r>
    </w:p>
    <w:p w:rsidR="005C4AC6" w:rsidRDefault="005C4AC6" w:rsidP="005C4AC6">
      <w:pPr>
        <w:rPr>
          <w:sz w:val="28"/>
          <w:szCs w:val="28"/>
        </w:rPr>
      </w:pPr>
      <w:r w:rsidRPr="005C4AC6">
        <w:rPr>
          <w:sz w:val="28"/>
          <w:szCs w:val="28"/>
        </w:rPr>
        <w:t xml:space="preserve">Elia M. Tapia, </w:t>
      </w:r>
      <w:r w:rsidR="006769B7">
        <w:rPr>
          <w:sz w:val="28"/>
          <w:szCs w:val="28"/>
        </w:rPr>
        <w:t xml:space="preserve">Senior </w:t>
      </w:r>
      <w:r w:rsidRPr="005C4AC6">
        <w:rPr>
          <w:sz w:val="28"/>
          <w:szCs w:val="28"/>
        </w:rPr>
        <w:t>Research Specialist</w:t>
      </w:r>
    </w:p>
    <w:p w:rsidR="005C4AC6" w:rsidRDefault="005C4AC6" w:rsidP="005C4AC6">
      <w:pPr>
        <w:rPr>
          <w:sz w:val="28"/>
          <w:szCs w:val="28"/>
        </w:rPr>
      </w:pPr>
      <w:r w:rsidRPr="005C4AC6">
        <w:rPr>
          <w:sz w:val="28"/>
          <w:szCs w:val="28"/>
        </w:rPr>
        <w:t>University of Arizona Water Resources Research Center</w:t>
      </w:r>
    </w:p>
    <w:p w:rsidR="005C4AC6" w:rsidRPr="005C4AC6" w:rsidRDefault="005C4AC6" w:rsidP="005C4AC6">
      <w:pPr>
        <w:rPr>
          <w:sz w:val="28"/>
          <w:szCs w:val="28"/>
        </w:rPr>
      </w:pPr>
      <w:r>
        <w:rPr>
          <w:sz w:val="28"/>
          <w:szCs w:val="28"/>
        </w:rPr>
        <w:t>Tucson, AZ</w:t>
      </w:r>
    </w:p>
    <w:p w:rsidR="008D5EB9" w:rsidRPr="00811165" w:rsidRDefault="008D5EB9">
      <w:pPr>
        <w:rPr>
          <w:sz w:val="28"/>
          <w:szCs w:val="28"/>
        </w:rPr>
      </w:pPr>
    </w:p>
    <w:p w:rsidR="005C4AC6" w:rsidRDefault="005C4AC6">
      <w:pPr>
        <w:rPr>
          <w:rFonts w:ascii="Arial Black" w:hAnsi="Arial Black"/>
        </w:rPr>
      </w:pPr>
    </w:p>
    <w:p w:rsidR="006D5FCA" w:rsidRPr="008C7600" w:rsidRDefault="006454A1">
      <w:pPr>
        <w:rPr>
          <w:rFonts w:ascii="Arial Black" w:hAnsi="Arial Black"/>
        </w:rPr>
      </w:pPr>
      <w:r>
        <w:rPr>
          <w:rFonts w:ascii="Arial Black" w:hAnsi="Arial Black"/>
        </w:rPr>
        <w:t>12</w:t>
      </w:r>
      <w:r w:rsidR="00F009DB" w:rsidRPr="008C7600">
        <w:rPr>
          <w:rFonts w:ascii="Arial Black" w:hAnsi="Arial Black"/>
        </w:rPr>
        <w:t>:</w:t>
      </w:r>
      <w:r w:rsidR="000254E7">
        <w:rPr>
          <w:rFonts w:ascii="Arial Black" w:hAnsi="Arial Black"/>
        </w:rPr>
        <w:t>00</w:t>
      </w:r>
      <w:r w:rsidR="00F009DB" w:rsidRPr="008C7600">
        <w:rPr>
          <w:rFonts w:ascii="Arial Black" w:hAnsi="Arial Black"/>
        </w:rPr>
        <w:t xml:space="preserve"> – </w:t>
      </w:r>
      <w:r>
        <w:rPr>
          <w:rFonts w:ascii="Arial Black" w:hAnsi="Arial Black"/>
        </w:rPr>
        <w:t>1</w:t>
      </w:r>
      <w:r w:rsidR="00F009DB" w:rsidRPr="008C7600">
        <w:rPr>
          <w:rFonts w:ascii="Arial Black" w:hAnsi="Arial Black"/>
        </w:rPr>
        <w:t>:</w:t>
      </w:r>
      <w:r w:rsidR="000254E7">
        <w:rPr>
          <w:rFonts w:ascii="Arial Black" w:hAnsi="Arial Black"/>
        </w:rPr>
        <w:t>00</w:t>
      </w:r>
      <w:r w:rsidR="00F009DB" w:rsidRPr="008C7600">
        <w:rPr>
          <w:rFonts w:ascii="Arial Black" w:hAnsi="Arial Black"/>
        </w:rPr>
        <w:t xml:space="preserve"> </w:t>
      </w:r>
      <w:r w:rsidR="00360D3A" w:rsidRPr="008C7600">
        <w:rPr>
          <w:rFonts w:ascii="Arial Black" w:hAnsi="Arial Black"/>
        </w:rPr>
        <w:t>p</w:t>
      </w:r>
      <w:r w:rsidR="00F009DB" w:rsidRPr="008C7600">
        <w:rPr>
          <w:rFonts w:ascii="Arial Black" w:hAnsi="Arial Black"/>
        </w:rPr>
        <w:t>m</w:t>
      </w:r>
    </w:p>
    <w:p w:rsidR="00F009DB" w:rsidRPr="008C7600" w:rsidRDefault="003606BB">
      <w:pPr>
        <w:rPr>
          <w:rFonts w:ascii="Arial Black" w:hAnsi="Arial Black"/>
        </w:rPr>
      </w:pPr>
      <w:r>
        <w:rPr>
          <w:rFonts w:ascii="Arial Black" w:hAnsi="Arial Black"/>
        </w:rPr>
        <w:t>Friday</w:t>
      </w:r>
      <w:r w:rsidR="00CA2056">
        <w:rPr>
          <w:rFonts w:ascii="Arial Black" w:hAnsi="Arial Black"/>
        </w:rPr>
        <w:t xml:space="preserve">, </w:t>
      </w:r>
      <w:r w:rsidR="005C4AC6">
        <w:rPr>
          <w:rFonts w:ascii="Arial Black" w:hAnsi="Arial Black"/>
        </w:rPr>
        <w:t>April 12</w:t>
      </w:r>
    </w:p>
    <w:p w:rsidR="00F009DB" w:rsidRDefault="00CA2056">
      <w:pPr>
        <w:rPr>
          <w:rFonts w:ascii="Arial Black" w:hAnsi="Arial Black"/>
        </w:rPr>
      </w:pPr>
      <w:r>
        <w:rPr>
          <w:rFonts w:ascii="Arial Black" w:hAnsi="Arial Black"/>
        </w:rPr>
        <w:t xml:space="preserve">Rm </w:t>
      </w:r>
      <w:r w:rsidR="00723DA8">
        <w:rPr>
          <w:rFonts w:ascii="Arial Black" w:hAnsi="Arial Black"/>
        </w:rPr>
        <w:t>7</w:t>
      </w:r>
      <w:r w:rsidR="00AD020A">
        <w:rPr>
          <w:rFonts w:ascii="Arial Black" w:hAnsi="Arial Black"/>
        </w:rPr>
        <w:t>01</w:t>
      </w:r>
      <w:r>
        <w:rPr>
          <w:rFonts w:ascii="Arial Black" w:hAnsi="Arial Black"/>
        </w:rPr>
        <w:t xml:space="preserve">, </w:t>
      </w:r>
      <w:r w:rsidR="00AD020A">
        <w:rPr>
          <w:rFonts w:ascii="Arial Black" w:hAnsi="Arial Black"/>
        </w:rPr>
        <w:t>Kelly Hall</w:t>
      </w:r>
    </w:p>
    <w:p w:rsidR="001C03A0" w:rsidRDefault="001C03A0">
      <w:pPr>
        <w:rPr>
          <w:rFonts w:ascii="Arial Black" w:hAnsi="Arial Black"/>
        </w:rPr>
      </w:pPr>
      <w:r>
        <w:rPr>
          <w:rFonts w:ascii="Arial Black" w:hAnsi="Arial Black"/>
        </w:rPr>
        <w:t>UTEP Campus</w:t>
      </w:r>
    </w:p>
    <w:p w:rsidR="006428B5" w:rsidRDefault="006428B5">
      <w:pPr>
        <w:rPr>
          <w:rFonts w:ascii="Arial Black" w:hAnsi="Arial Black"/>
        </w:rPr>
      </w:pPr>
    </w:p>
    <w:p w:rsidR="005C4AC6" w:rsidRDefault="005C4AC6">
      <w:pPr>
        <w:rPr>
          <w:rFonts w:ascii="Arial" w:hAnsi="Arial" w:cs="Arial"/>
          <w:sz w:val="24"/>
          <w:szCs w:val="24"/>
        </w:rPr>
      </w:pPr>
    </w:p>
    <w:p w:rsidR="005C4AC6" w:rsidRDefault="005C4AC6">
      <w:pPr>
        <w:rPr>
          <w:rFonts w:ascii="Arial" w:hAnsi="Arial" w:cs="Arial"/>
          <w:sz w:val="24"/>
          <w:szCs w:val="24"/>
        </w:rPr>
      </w:pPr>
    </w:p>
    <w:p w:rsidR="003E7371" w:rsidRPr="008D5EB9" w:rsidRDefault="005B6E76">
      <w:pPr>
        <w:rPr>
          <w:rFonts w:ascii="Arial" w:hAnsi="Arial" w:cs="Arial"/>
          <w:sz w:val="24"/>
          <w:szCs w:val="24"/>
        </w:rPr>
      </w:pPr>
      <w:r w:rsidRPr="008D5EB9">
        <w:rPr>
          <w:rFonts w:ascii="Arial" w:hAnsi="Arial" w:cs="Arial"/>
          <w:sz w:val="24"/>
          <w:szCs w:val="24"/>
        </w:rPr>
        <w:t>ABSTRACT</w:t>
      </w:r>
    </w:p>
    <w:p w:rsidR="003E4080" w:rsidRDefault="005C4AC6" w:rsidP="005C4AC6">
      <w:pPr>
        <w:jc w:val="both"/>
      </w:pPr>
      <w:r>
        <w:t>The Transboundary Aquifer Assessment Program (TAAP) is a joint effort between Mexico and the U</w:t>
      </w:r>
      <w:r>
        <w:t>.S. t</w:t>
      </w:r>
      <w:r>
        <w:t xml:space="preserve">o assess shared aquifers. </w:t>
      </w:r>
      <w:r>
        <w:t>Under this program, s</w:t>
      </w:r>
      <w:r>
        <w:t>cientists from each country have collaborated on binational studies o</w:t>
      </w:r>
      <w:r>
        <w:t>f</w:t>
      </w:r>
      <w:r>
        <w:t xml:space="preserve"> aquifers in the U.S.-Mexico border region</w:t>
      </w:r>
      <w:r>
        <w:t xml:space="preserve">.  </w:t>
      </w:r>
      <w:r>
        <w:t>This scientific coordination and dialogue ha</w:t>
      </w:r>
      <w:r>
        <w:t>ve</w:t>
      </w:r>
      <w:r>
        <w:t xml:space="preserve"> been based on the “Joint Report of the Principal Engineers Regarding the Joint Cooperative Process United States-Mexico”, which has served as the framework to implement binational studies. This presentation will focus on the evolution of cooperation over binational aquifers shared between the U</w:t>
      </w:r>
      <w:r>
        <w:t>.</w:t>
      </w:r>
      <w:r>
        <w:t>S</w:t>
      </w:r>
      <w:r>
        <w:t>.</w:t>
      </w:r>
      <w:r>
        <w:t xml:space="preserve"> and Mexico and the lessons learned from the cooperative process. The history of the University of Arizona’s section of the TAAP </w:t>
      </w:r>
      <w:proofErr w:type="gramStart"/>
      <w:r>
        <w:t>will be discussed</w:t>
      </w:r>
      <w:proofErr w:type="gramEnd"/>
      <w:r>
        <w:t xml:space="preserve">, including its efforts towards the completion of the </w:t>
      </w:r>
      <w:r>
        <w:rPr>
          <w:i/>
        </w:rPr>
        <w:t>Binational Study of the Transboundary San Pedro Aquifer</w:t>
      </w:r>
      <w:r>
        <w:t>. The presentation will also discuss current and future efforts of the University of Arizona TAAP program.</w:t>
      </w:r>
    </w:p>
    <w:p w:rsidR="003E4080" w:rsidRDefault="003E4080">
      <w:r>
        <w:br w:type="page"/>
      </w:r>
    </w:p>
    <w:p w:rsidR="003E4080" w:rsidRDefault="003E4080" w:rsidP="003E4080">
      <w:pPr>
        <w:rPr>
          <w:rFonts w:ascii="Arial" w:hAnsi="Arial" w:cs="Arial"/>
          <w:sz w:val="24"/>
          <w:szCs w:val="24"/>
        </w:rPr>
      </w:pPr>
      <w:r w:rsidRPr="009903EB">
        <w:rPr>
          <w:rFonts w:ascii="Arial" w:hAnsi="Arial" w:cs="Arial"/>
          <w:sz w:val="24"/>
          <w:szCs w:val="24"/>
        </w:rPr>
        <w:lastRenderedPageBreak/>
        <w:t>SHORT BIO</w:t>
      </w:r>
      <w:r>
        <w:rPr>
          <w:rFonts w:ascii="Arial" w:hAnsi="Arial" w:cs="Arial"/>
          <w:sz w:val="24"/>
          <w:szCs w:val="24"/>
        </w:rPr>
        <w:t>S</w:t>
      </w:r>
    </w:p>
    <w:p w:rsidR="003E4080" w:rsidRPr="00C152AD" w:rsidRDefault="003E4080" w:rsidP="003E4080">
      <w:pPr>
        <w:jc w:val="left"/>
        <w:rPr>
          <w:b/>
        </w:rPr>
      </w:pPr>
      <w:r w:rsidRPr="00C152AD">
        <w:rPr>
          <w:b/>
        </w:rPr>
        <w:t>Jacob Petersen-Perlman</w:t>
      </w:r>
    </w:p>
    <w:p w:rsidR="003E4080" w:rsidRDefault="003E4080" w:rsidP="003E4080">
      <w:pPr>
        <w:jc w:val="left"/>
      </w:pPr>
      <w:r w:rsidRPr="00B75B5A">
        <w:t xml:space="preserve">Jacob Petersen-Perlman is a Research Analyst at the Water Resources Research Center. He has worked on the Transboundary Aquifer Assessment Program (TAAP) and issues of groundwater governance and management at the WRRC. Prior to joining the WRRC, Dr. Petersen-Perlman served as a post-doctoral scholar through the Ken </w:t>
      </w:r>
      <w:proofErr w:type="spellStart"/>
      <w:r w:rsidRPr="00B75B5A">
        <w:t>Alberman</w:t>
      </w:r>
      <w:proofErr w:type="spellEnd"/>
      <w:r w:rsidRPr="00B75B5A">
        <w:t xml:space="preserve"> Fellowship in Water, Society, and Geopolitics at Hebrew University of Jerusalem, Israel. He earned his Ph. D. in Geography at Oregon State University, his M.S. in Geography at the University of Montana, and his B.S. in Meteorology at Iowa State University. His research areas of interest include transboundary water conflict and cooperation, water security, and water governance.</w:t>
      </w:r>
    </w:p>
    <w:p w:rsidR="005F46CB" w:rsidRDefault="005F46CB" w:rsidP="003E40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160" w:hanging="2160"/>
        <w:jc w:val="left"/>
        <w:rPr>
          <w:rFonts w:ascii="Calibri" w:eastAsia="ヒラギノ角ゴ Pro W3" w:hAnsi="Calibri" w:cs="Times New Roman"/>
          <w:color w:val="000000"/>
          <w:u w:val="single"/>
        </w:rPr>
      </w:pPr>
    </w:p>
    <w:p w:rsidR="003E4080" w:rsidRPr="006769B7" w:rsidRDefault="003E4080" w:rsidP="003E40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160" w:hanging="2160"/>
        <w:jc w:val="left"/>
        <w:rPr>
          <w:rFonts w:ascii="Calibri" w:eastAsia="ヒラギノ角ゴ Pro W3" w:hAnsi="Calibri" w:cs="Times New Roman"/>
          <w:color w:val="000000"/>
          <w:u w:val="single"/>
        </w:rPr>
      </w:pPr>
      <w:r w:rsidRPr="006769B7">
        <w:rPr>
          <w:rFonts w:ascii="Calibri" w:eastAsia="ヒラギノ角ゴ Pro W3" w:hAnsi="Calibri" w:cs="Times New Roman"/>
          <w:color w:val="000000"/>
          <w:u w:val="single"/>
        </w:rPr>
        <w:t>Selected Publications</w:t>
      </w:r>
    </w:p>
    <w:p w:rsidR="003E4080" w:rsidRPr="00876265" w:rsidRDefault="003E4080" w:rsidP="003E4080">
      <w:pPr>
        <w:pStyle w:val="ListParagraph"/>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rFonts w:ascii="Calibri" w:hAnsi="Calibri"/>
          <w:i/>
          <w:sz w:val="22"/>
          <w:szCs w:val="22"/>
        </w:rPr>
      </w:pPr>
      <w:r w:rsidRPr="004C5E97">
        <w:rPr>
          <w:rFonts w:ascii="Calibri" w:hAnsi="Calibri"/>
          <w:b/>
          <w:sz w:val="22"/>
          <w:szCs w:val="22"/>
        </w:rPr>
        <w:t>Petersen-Perlman, J.D</w:t>
      </w:r>
      <w:r>
        <w:rPr>
          <w:rFonts w:ascii="Calibri" w:hAnsi="Calibri"/>
          <w:b/>
          <w:sz w:val="22"/>
          <w:szCs w:val="22"/>
        </w:rPr>
        <w:t xml:space="preserve">., </w:t>
      </w:r>
      <w:r>
        <w:rPr>
          <w:rFonts w:ascii="Calibri" w:hAnsi="Calibri"/>
          <w:sz w:val="22"/>
          <w:szCs w:val="22"/>
        </w:rPr>
        <w:t xml:space="preserve">S.B. </w:t>
      </w:r>
      <w:proofErr w:type="spellStart"/>
      <w:r>
        <w:rPr>
          <w:rFonts w:ascii="Calibri" w:hAnsi="Calibri"/>
          <w:sz w:val="22"/>
          <w:szCs w:val="22"/>
        </w:rPr>
        <w:t>Megdal</w:t>
      </w:r>
      <w:proofErr w:type="spellEnd"/>
      <w:r>
        <w:rPr>
          <w:rFonts w:ascii="Calibri" w:hAnsi="Calibri"/>
          <w:sz w:val="22"/>
          <w:szCs w:val="22"/>
        </w:rPr>
        <w:t xml:space="preserve">, A.K. </w:t>
      </w:r>
      <w:proofErr w:type="spellStart"/>
      <w:r>
        <w:rPr>
          <w:rFonts w:ascii="Calibri" w:hAnsi="Calibri"/>
          <w:sz w:val="22"/>
          <w:szCs w:val="22"/>
        </w:rPr>
        <w:t>Gerlak</w:t>
      </w:r>
      <w:proofErr w:type="spellEnd"/>
      <w:r>
        <w:rPr>
          <w:rFonts w:ascii="Calibri" w:hAnsi="Calibri"/>
          <w:sz w:val="22"/>
          <w:szCs w:val="22"/>
        </w:rPr>
        <w:t>, M. Wireman, A.A. Zuniga-</w:t>
      </w:r>
      <w:proofErr w:type="spellStart"/>
      <w:r>
        <w:rPr>
          <w:rFonts w:ascii="Calibri" w:hAnsi="Calibri"/>
          <w:sz w:val="22"/>
          <w:szCs w:val="22"/>
        </w:rPr>
        <w:t>Teran</w:t>
      </w:r>
      <w:proofErr w:type="spellEnd"/>
      <w:r>
        <w:rPr>
          <w:rFonts w:ascii="Calibri" w:hAnsi="Calibri"/>
          <w:sz w:val="22"/>
          <w:szCs w:val="22"/>
        </w:rPr>
        <w:t xml:space="preserve">, &amp; R.G. </w:t>
      </w:r>
      <w:proofErr w:type="spellStart"/>
      <w:r>
        <w:rPr>
          <w:rFonts w:ascii="Calibri" w:hAnsi="Calibri"/>
          <w:sz w:val="22"/>
          <w:szCs w:val="22"/>
        </w:rPr>
        <w:t>Varady</w:t>
      </w:r>
      <w:proofErr w:type="spellEnd"/>
      <w:r>
        <w:rPr>
          <w:rFonts w:ascii="Calibri" w:hAnsi="Calibri"/>
          <w:sz w:val="22"/>
          <w:szCs w:val="22"/>
        </w:rPr>
        <w:t xml:space="preserve">. 2018. Critical Issues Affecting Groundwater Quality Governance and Management in the United States. </w:t>
      </w:r>
      <w:r>
        <w:rPr>
          <w:rFonts w:ascii="Calibri" w:hAnsi="Calibri"/>
          <w:i/>
          <w:sz w:val="22"/>
          <w:szCs w:val="22"/>
        </w:rPr>
        <w:t>Water</w:t>
      </w:r>
      <w:r>
        <w:rPr>
          <w:rFonts w:ascii="Calibri" w:hAnsi="Calibri"/>
          <w:sz w:val="22"/>
          <w:szCs w:val="22"/>
        </w:rPr>
        <w:t xml:space="preserve"> 10(6): 735. DOI: 10.3390/w10060735.</w:t>
      </w:r>
    </w:p>
    <w:p w:rsidR="003E4080" w:rsidRPr="00F531A8" w:rsidRDefault="003E4080" w:rsidP="003E4080">
      <w:pPr>
        <w:pStyle w:val="ListParagraph"/>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rFonts w:ascii="Calibri" w:hAnsi="Calibri"/>
          <w:sz w:val="22"/>
          <w:szCs w:val="22"/>
        </w:rPr>
      </w:pPr>
      <w:r w:rsidRPr="008F386E">
        <w:rPr>
          <w:rFonts w:ascii="Calibri" w:hAnsi="Calibri"/>
          <w:b/>
          <w:sz w:val="22"/>
          <w:szCs w:val="22"/>
        </w:rPr>
        <w:t xml:space="preserve">Petersen-Perlman, J.D., </w:t>
      </w:r>
      <w:r w:rsidRPr="008F386E">
        <w:rPr>
          <w:rFonts w:ascii="Calibri" w:hAnsi="Calibri"/>
          <w:sz w:val="22"/>
          <w:szCs w:val="22"/>
        </w:rPr>
        <w:t xml:space="preserve">&amp; I. </w:t>
      </w:r>
      <w:proofErr w:type="spellStart"/>
      <w:r w:rsidRPr="008F386E">
        <w:rPr>
          <w:rFonts w:ascii="Calibri" w:hAnsi="Calibri"/>
          <w:sz w:val="22"/>
          <w:szCs w:val="22"/>
        </w:rPr>
        <w:t>Fischhendler</w:t>
      </w:r>
      <w:proofErr w:type="spellEnd"/>
      <w:r w:rsidRPr="008F386E">
        <w:rPr>
          <w:rFonts w:ascii="Calibri" w:hAnsi="Calibri"/>
          <w:sz w:val="22"/>
          <w:szCs w:val="22"/>
        </w:rPr>
        <w:t>.</w:t>
      </w:r>
      <w:r>
        <w:rPr>
          <w:rFonts w:ascii="Calibri" w:hAnsi="Calibri"/>
          <w:sz w:val="22"/>
          <w:szCs w:val="22"/>
        </w:rPr>
        <w:t xml:space="preserve"> 2018.</w:t>
      </w:r>
      <w:r w:rsidRPr="008F386E">
        <w:rPr>
          <w:rFonts w:ascii="Calibri" w:hAnsi="Calibri"/>
          <w:sz w:val="22"/>
          <w:szCs w:val="22"/>
        </w:rPr>
        <w:t xml:space="preserve"> The Weakness of the Strong: Re-examining Power in</w:t>
      </w:r>
      <w:r>
        <w:rPr>
          <w:rFonts w:ascii="Calibri" w:hAnsi="Calibri"/>
          <w:sz w:val="22"/>
          <w:szCs w:val="22"/>
        </w:rPr>
        <w:t xml:space="preserve"> </w:t>
      </w:r>
      <w:r w:rsidRPr="008F386E">
        <w:rPr>
          <w:rFonts w:ascii="Calibri" w:hAnsi="Calibri"/>
          <w:sz w:val="22"/>
          <w:szCs w:val="22"/>
        </w:rPr>
        <w:t xml:space="preserve">Transboundary Water Dynamics. </w:t>
      </w:r>
      <w:r w:rsidRPr="008F386E">
        <w:rPr>
          <w:rFonts w:ascii="Calibri" w:hAnsi="Calibri"/>
          <w:i/>
          <w:sz w:val="22"/>
          <w:szCs w:val="22"/>
        </w:rPr>
        <w:t>International Environmental Agreements: Politics, Law and Economics</w:t>
      </w:r>
      <w:r>
        <w:rPr>
          <w:rFonts w:ascii="Calibri" w:hAnsi="Calibri"/>
          <w:sz w:val="22"/>
          <w:szCs w:val="22"/>
        </w:rPr>
        <w:t xml:space="preserve"> 18(2): 275-294</w:t>
      </w:r>
      <w:r w:rsidRPr="008F386E">
        <w:rPr>
          <w:rFonts w:ascii="Calibri" w:hAnsi="Calibri"/>
          <w:i/>
          <w:sz w:val="22"/>
          <w:szCs w:val="22"/>
        </w:rPr>
        <w:t>.</w:t>
      </w:r>
      <w:r>
        <w:rPr>
          <w:rFonts w:ascii="Calibri" w:hAnsi="Calibri"/>
          <w:sz w:val="22"/>
          <w:szCs w:val="22"/>
        </w:rPr>
        <w:t xml:space="preserve"> </w:t>
      </w:r>
      <w:r w:rsidRPr="00FA247B">
        <w:rPr>
          <w:rFonts w:asciiTheme="minorHAnsi" w:hAnsiTheme="minorHAnsi" w:cstheme="minorHAnsi"/>
          <w:sz w:val="22"/>
          <w:szCs w:val="22"/>
        </w:rPr>
        <w:t>DOI: 10.1007/s10784-018-9387-z</w:t>
      </w:r>
      <w:r>
        <w:rPr>
          <w:rFonts w:asciiTheme="minorHAnsi" w:hAnsiTheme="minorHAnsi" w:cstheme="minorHAnsi"/>
          <w:sz w:val="22"/>
          <w:szCs w:val="22"/>
        </w:rPr>
        <w:t>.</w:t>
      </w:r>
    </w:p>
    <w:p w:rsidR="003E4080" w:rsidRPr="00F02794" w:rsidRDefault="003E4080" w:rsidP="003E4080">
      <w:pPr>
        <w:pStyle w:val="ListParagraph"/>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rFonts w:ascii="Calibri" w:hAnsi="Calibri"/>
          <w:sz w:val="22"/>
          <w:szCs w:val="22"/>
        </w:rPr>
      </w:pPr>
      <w:r w:rsidRPr="00F02794">
        <w:rPr>
          <w:rFonts w:ascii="Calibri" w:hAnsi="Calibri"/>
          <w:sz w:val="22"/>
          <w:szCs w:val="22"/>
        </w:rPr>
        <w:t xml:space="preserve">De Stefano, L., </w:t>
      </w:r>
      <w:r w:rsidRPr="00F02794">
        <w:rPr>
          <w:rFonts w:ascii="Calibri" w:hAnsi="Calibri"/>
          <w:b/>
          <w:sz w:val="22"/>
          <w:szCs w:val="22"/>
        </w:rPr>
        <w:t xml:space="preserve">J.D. Petersen-Perlman, </w:t>
      </w:r>
      <w:r w:rsidRPr="00F02794">
        <w:rPr>
          <w:rFonts w:ascii="Calibri" w:hAnsi="Calibri"/>
          <w:sz w:val="22"/>
          <w:szCs w:val="22"/>
        </w:rPr>
        <w:t xml:space="preserve">E. </w:t>
      </w:r>
      <w:proofErr w:type="spellStart"/>
      <w:r w:rsidRPr="00F02794">
        <w:rPr>
          <w:rFonts w:ascii="Calibri" w:hAnsi="Calibri"/>
          <w:sz w:val="22"/>
          <w:szCs w:val="22"/>
        </w:rPr>
        <w:t>Sproles</w:t>
      </w:r>
      <w:proofErr w:type="spellEnd"/>
      <w:r w:rsidRPr="00F02794">
        <w:rPr>
          <w:rFonts w:ascii="Calibri" w:hAnsi="Calibri"/>
          <w:sz w:val="22"/>
          <w:szCs w:val="22"/>
        </w:rPr>
        <w:t xml:space="preserve">, J. </w:t>
      </w:r>
      <w:proofErr w:type="spellStart"/>
      <w:r w:rsidRPr="00F02794">
        <w:rPr>
          <w:rFonts w:ascii="Calibri" w:hAnsi="Calibri"/>
          <w:sz w:val="22"/>
          <w:szCs w:val="22"/>
        </w:rPr>
        <w:t>Eynard</w:t>
      </w:r>
      <w:proofErr w:type="spellEnd"/>
      <w:r w:rsidRPr="00F02794">
        <w:rPr>
          <w:rFonts w:ascii="Calibri" w:hAnsi="Calibri"/>
          <w:sz w:val="22"/>
          <w:szCs w:val="22"/>
        </w:rPr>
        <w:t xml:space="preserve">, &amp; A.T. Wolf. 2017. Assessment of Transboundary River Basins for Potential Hydro-political Tensions. </w:t>
      </w:r>
      <w:r w:rsidRPr="00F02794">
        <w:rPr>
          <w:rFonts w:ascii="Calibri" w:hAnsi="Calibri"/>
          <w:i/>
          <w:sz w:val="22"/>
          <w:szCs w:val="22"/>
        </w:rPr>
        <w:t>Global Environmental Change</w:t>
      </w:r>
      <w:r w:rsidRPr="00F02794">
        <w:rPr>
          <w:rFonts w:ascii="Calibri" w:hAnsi="Calibri"/>
          <w:sz w:val="22"/>
          <w:szCs w:val="22"/>
        </w:rPr>
        <w:t xml:space="preserve"> 45(July): 35-46</w:t>
      </w:r>
      <w:r w:rsidRPr="00F02794">
        <w:rPr>
          <w:rFonts w:ascii="Calibri" w:hAnsi="Calibri"/>
          <w:i/>
          <w:sz w:val="22"/>
          <w:szCs w:val="22"/>
        </w:rPr>
        <w:t>.</w:t>
      </w:r>
      <w:r w:rsidRPr="00F02794">
        <w:rPr>
          <w:rFonts w:ascii="Calibri" w:hAnsi="Calibri"/>
          <w:sz w:val="22"/>
          <w:szCs w:val="22"/>
        </w:rPr>
        <w:t xml:space="preserve"> DOI: 10.1016/j.gloenvcha.2017.04.008.</w:t>
      </w:r>
    </w:p>
    <w:p w:rsidR="003E4080" w:rsidRDefault="003E4080" w:rsidP="003E4080">
      <w:pPr>
        <w:pStyle w:val="ListParagraph"/>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rFonts w:ascii="Calibri" w:hAnsi="Calibri"/>
          <w:sz w:val="22"/>
          <w:szCs w:val="22"/>
        </w:rPr>
      </w:pPr>
      <w:r w:rsidRPr="004445C7">
        <w:rPr>
          <w:rFonts w:ascii="Calibri" w:hAnsi="Calibri"/>
          <w:b/>
          <w:sz w:val="22"/>
          <w:szCs w:val="22"/>
        </w:rPr>
        <w:t xml:space="preserve">Petersen-Perlman, </w:t>
      </w:r>
      <w:r>
        <w:rPr>
          <w:rFonts w:ascii="Calibri" w:hAnsi="Calibri"/>
          <w:b/>
          <w:sz w:val="22"/>
          <w:szCs w:val="22"/>
        </w:rPr>
        <w:t>J.</w:t>
      </w:r>
      <w:r w:rsidRPr="004445C7">
        <w:rPr>
          <w:rFonts w:ascii="Calibri" w:hAnsi="Calibri"/>
          <w:b/>
          <w:sz w:val="22"/>
          <w:szCs w:val="22"/>
        </w:rPr>
        <w:t xml:space="preserve">D., </w:t>
      </w:r>
      <w:r>
        <w:rPr>
          <w:rFonts w:ascii="Calibri" w:hAnsi="Calibri"/>
          <w:sz w:val="22"/>
          <w:szCs w:val="22"/>
        </w:rPr>
        <w:t xml:space="preserve">J.C. </w:t>
      </w:r>
      <w:proofErr w:type="spellStart"/>
      <w:r>
        <w:rPr>
          <w:rFonts w:ascii="Calibri" w:hAnsi="Calibri"/>
          <w:sz w:val="22"/>
          <w:szCs w:val="22"/>
        </w:rPr>
        <w:t>Veilleux</w:t>
      </w:r>
      <w:proofErr w:type="spellEnd"/>
      <w:r>
        <w:rPr>
          <w:rFonts w:ascii="Calibri" w:hAnsi="Calibri"/>
          <w:sz w:val="22"/>
          <w:szCs w:val="22"/>
        </w:rPr>
        <w:t xml:space="preserve">, &amp; A.T. Wolf. 2017. </w:t>
      </w:r>
      <w:r w:rsidRPr="004445C7">
        <w:rPr>
          <w:rFonts w:ascii="Calibri" w:hAnsi="Calibri"/>
          <w:sz w:val="22"/>
          <w:szCs w:val="22"/>
        </w:rPr>
        <w:t>International Water</w:t>
      </w:r>
      <w:r>
        <w:rPr>
          <w:rFonts w:ascii="Calibri" w:hAnsi="Calibri"/>
          <w:sz w:val="22"/>
          <w:szCs w:val="22"/>
        </w:rPr>
        <w:t xml:space="preserve"> </w:t>
      </w:r>
      <w:r w:rsidRPr="004445C7">
        <w:rPr>
          <w:rFonts w:ascii="Calibri" w:hAnsi="Calibri"/>
          <w:sz w:val="22"/>
          <w:szCs w:val="22"/>
        </w:rPr>
        <w:t>Conflict and Cooperation</w:t>
      </w:r>
      <w:r>
        <w:rPr>
          <w:rFonts w:ascii="Calibri" w:hAnsi="Calibri"/>
          <w:sz w:val="22"/>
          <w:szCs w:val="22"/>
        </w:rPr>
        <w:t>: Challenges and Opportunities.</w:t>
      </w:r>
      <w:r w:rsidRPr="004445C7">
        <w:rPr>
          <w:rFonts w:ascii="Calibri" w:hAnsi="Calibri"/>
          <w:sz w:val="22"/>
          <w:szCs w:val="22"/>
        </w:rPr>
        <w:t xml:space="preserve"> </w:t>
      </w:r>
      <w:r w:rsidRPr="004445C7">
        <w:rPr>
          <w:rFonts w:ascii="Calibri" w:hAnsi="Calibri"/>
          <w:i/>
          <w:sz w:val="22"/>
          <w:szCs w:val="22"/>
        </w:rPr>
        <w:t>Water</w:t>
      </w:r>
      <w:r>
        <w:rPr>
          <w:rFonts w:ascii="Calibri" w:hAnsi="Calibri"/>
          <w:i/>
          <w:sz w:val="22"/>
          <w:szCs w:val="22"/>
        </w:rPr>
        <w:t xml:space="preserve"> </w:t>
      </w:r>
      <w:r w:rsidRPr="004445C7">
        <w:rPr>
          <w:rFonts w:ascii="Calibri" w:hAnsi="Calibri"/>
          <w:i/>
          <w:sz w:val="22"/>
          <w:szCs w:val="22"/>
        </w:rPr>
        <w:t>International</w:t>
      </w:r>
      <w:r w:rsidRPr="004445C7">
        <w:rPr>
          <w:rFonts w:ascii="Calibri" w:hAnsi="Calibri"/>
          <w:sz w:val="22"/>
          <w:szCs w:val="22"/>
        </w:rPr>
        <w:t xml:space="preserve"> 42(2): 105-120. DOI: 10.1080/02508060.2017.1276041.</w:t>
      </w:r>
    </w:p>
    <w:p w:rsidR="003E4080" w:rsidRPr="00A94ED7" w:rsidRDefault="003E4080" w:rsidP="003E4080">
      <w:pPr>
        <w:pStyle w:val="ListParagraph"/>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rFonts w:ascii="Calibri" w:hAnsi="Calibri"/>
          <w:sz w:val="22"/>
          <w:szCs w:val="22"/>
        </w:rPr>
      </w:pPr>
      <w:r w:rsidRPr="009C209A">
        <w:rPr>
          <w:rFonts w:ascii="Calibri" w:hAnsi="Calibri"/>
          <w:b/>
          <w:sz w:val="22"/>
          <w:szCs w:val="22"/>
        </w:rPr>
        <w:t>Petersen-Perlman, J.D.,</w:t>
      </w:r>
      <w:r w:rsidRPr="009C209A">
        <w:rPr>
          <w:rFonts w:ascii="Calibri" w:hAnsi="Calibri"/>
          <w:sz w:val="22"/>
          <w:szCs w:val="22"/>
        </w:rPr>
        <w:t xml:space="preserve"> &amp; A.T. Wolf. </w:t>
      </w:r>
      <w:r>
        <w:rPr>
          <w:rFonts w:ascii="Calibri" w:hAnsi="Calibri"/>
          <w:sz w:val="22"/>
          <w:szCs w:val="22"/>
        </w:rPr>
        <w:t xml:space="preserve">2015. </w:t>
      </w:r>
      <w:r w:rsidRPr="009C209A">
        <w:rPr>
          <w:rFonts w:ascii="Calibri" w:hAnsi="Calibri"/>
          <w:sz w:val="22"/>
          <w:szCs w:val="22"/>
        </w:rPr>
        <w:t>Getting to the First Handshake:</w:t>
      </w:r>
      <w:r>
        <w:rPr>
          <w:rFonts w:ascii="Calibri" w:hAnsi="Calibri"/>
          <w:sz w:val="22"/>
          <w:szCs w:val="22"/>
        </w:rPr>
        <w:t xml:space="preserve"> </w:t>
      </w:r>
      <w:r w:rsidRPr="009C209A">
        <w:rPr>
          <w:rFonts w:ascii="Calibri" w:hAnsi="Calibri"/>
          <w:sz w:val="22"/>
          <w:szCs w:val="22"/>
        </w:rPr>
        <w:t xml:space="preserve">Enhancing Security by Initiating Cooperation in Transboundary River Basins. </w:t>
      </w:r>
      <w:r w:rsidRPr="009C209A">
        <w:rPr>
          <w:rFonts w:ascii="Calibri" w:hAnsi="Calibri"/>
          <w:i/>
          <w:sz w:val="22"/>
          <w:szCs w:val="22"/>
        </w:rPr>
        <w:t>Journal of</w:t>
      </w:r>
      <w:r>
        <w:rPr>
          <w:rFonts w:ascii="Calibri" w:hAnsi="Calibri"/>
          <w:i/>
          <w:sz w:val="22"/>
          <w:szCs w:val="22"/>
        </w:rPr>
        <w:t xml:space="preserve"> </w:t>
      </w:r>
      <w:r w:rsidRPr="009C209A">
        <w:rPr>
          <w:rFonts w:ascii="Calibri" w:hAnsi="Calibri"/>
          <w:i/>
          <w:sz w:val="22"/>
          <w:szCs w:val="22"/>
        </w:rPr>
        <w:t>the American Water Resources Association</w:t>
      </w:r>
      <w:r>
        <w:rPr>
          <w:rFonts w:ascii="Calibri" w:hAnsi="Calibri"/>
          <w:i/>
          <w:sz w:val="22"/>
          <w:szCs w:val="22"/>
        </w:rPr>
        <w:t xml:space="preserve"> </w:t>
      </w:r>
      <w:r>
        <w:rPr>
          <w:rFonts w:ascii="Calibri" w:hAnsi="Calibri"/>
          <w:sz w:val="22"/>
          <w:szCs w:val="22"/>
        </w:rPr>
        <w:t>(JAWRA)</w:t>
      </w:r>
      <w:r w:rsidRPr="009C209A">
        <w:rPr>
          <w:rFonts w:ascii="Calibri" w:hAnsi="Calibri"/>
          <w:sz w:val="22"/>
          <w:szCs w:val="22"/>
        </w:rPr>
        <w:t xml:space="preserve"> 51(6): 1688-1707. DOI: 10.1111/17521688.12348.</w:t>
      </w:r>
    </w:p>
    <w:p w:rsidR="003E4080" w:rsidRPr="00F531A8" w:rsidRDefault="003E4080" w:rsidP="003E408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160" w:hanging="2160"/>
        <w:jc w:val="left"/>
        <w:rPr>
          <w:rFonts w:ascii="Calibri" w:eastAsia="ヒラギノ角ゴ Pro W3" w:hAnsi="Calibri" w:cs="Times New Roman"/>
          <w:b/>
          <w:color w:val="000000"/>
        </w:rPr>
      </w:pPr>
    </w:p>
    <w:p w:rsidR="003E4080" w:rsidRDefault="003E4080" w:rsidP="003E4080">
      <w:pPr>
        <w:jc w:val="left"/>
        <w:rPr>
          <w:b/>
        </w:rPr>
      </w:pPr>
      <w:r>
        <w:rPr>
          <w:b/>
        </w:rPr>
        <w:t>Elia M. Tapia</w:t>
      </w:r>
    </w:p>
    <w:p w:rsidR="003E4080" w:rsidRDefault="003E4080" w:rsidP="005F46CB">
      <w:pPr>
        <w:jc w:val="left"/>
      </w:pPr>
      <w:r w:rsidRPr="00C152AD">
        <w:t xml:space="preserve">Elia M. Tapia is a Senior Research Specialist at the University </w:t>
      </w:r>
      <w:proofErr w:type="gramStart"/>
      <w:r w:rsidRPr="00C152AD">
        <w:t>of</w:t>
      </w:r>
      <w:proofErr w:type="gramEnd"/>
      <w:r w:rsidRPr="00C152AD">
        <w:t xml:space="preserve"> Arizona Water</w:t>
      </w:r>
      <w:r>
        <w:t xml:space="preserve"> </w:t>
      </w:r>
      <w:r w:rsidRPr="00C152AD">
        <w:t xml:space="preserve">Resources Research Center. </w:t>
      </w:r>
      <w:proofErr w:type="gramStart"/>
      <w:r w:rsidRPr="00C152AD">
        <w:t>She is a Ph.D. candidate in Arid Lands Resource Sciences and is</w:t>
      </w:r>
      <w:r>
        <w:t xml:space="preserve"> </w:t>
      </w:r>
      <w:r w:rsidRPr="00C152AD">
        <w:t>pursuing a minor in Hydrology.</w:t>
      </w:r>
      <w:proofErr w:type="gramEnd"/>
      <w:r>
        <w:t xml:space="preserve">  </w:t>
      </w:r>
    </w:p>
    <w:p w:rsidR="005C4AC6" w:rsidRDefault="003E4080" w:rsidP="005F46CB">
      <w:pPr>
        <w:jc w:val="left"/>
      </w:pPr>
      <w:r>
        <w:t xml:space="preserve">She holds </w:t>
      </w:r>
      <w:r w:rsidRPr="00C152AD">
        <w:t>M.S.</w:t>
      </w:r>
      <w:r>
        <w:t xml:space="preserve"> and B.S.</w:t>
      </w:r>
      <w:r w:rsidRPr="00C152AD">
        <w:t xml:space="preserve"> </w:t>
      </w:r>
      <w:r>
        <w:t xml:space="preserve">degrees </w:t>
      </w:r>
      <w:r w:rsidRPr="00C152AD">
        <w:t>in Geological Sciences</w:t>
      </w:r>
      <w:r>
        <w:t xml:space="preserve"> from </w:t>
      </w:r>
      <w:r w:rsidRPr="00C152AD">
        <w:rPr>
          <w:lang w:val="es-MX"/>
        </w:rPr>
        <w:t xml:space="preserve">Universidad de Sonora, Hermosillo, </w:t>
      </w:r>
      <w:proofErr w:type="spellStart"/>
      <w:r w:rsidRPr="00C152AD">
        <w:rPr>
          <w:lang w:val="es-MX"/>
        </w:rPr>
        <w:t>Mexico</w:t>
      </w:r>
      <w:proofErr w:type="spellEnd"/>
      <w:r>
        <w:rPr>
          <w:lang w:val="es-MX"/>
        </w:rPr>
        <w:t xml:space="preserve">, and a B.S. </w:t>
      </w:r>
      <w:proofErr w:type="spellStart"/>
      <w:r>
        <w:rPr>
          <w:lang w:val="es-MX"/>
        </w:rPr>
        <w:t>degree</w:t>
      </w:r>
      <w:proofErr w:type="spellEnd"/>
      <w:r>
        <w:rPr>
          <w:lang w:val="es-MX"/>
        </w:rPr>
        <w:t xml:space="preserve"> in Geological </w:t>
      </w:r>
      <w:proofErr w:type="spellStart"/>
      <w:r>
        <w:rPr>
          <w:lang w:val="es-MX"/>
        </w:rPr>
        <w:t>Sciences</w:t>
      </w:r>
      <w:proofErr w:type="spellEnd"/>
      <w:r>
        <w:rPr>
          <w:lang w:val="es-MX"/>
        </w:rPr>
        <w:t xml:space="preserve"> </w:t>
      </w:r>
      <w:proofErr w:type="spellStart"/>
      <w:r>
        <w:rPr>
          <w:lang w:val="es-MX"/>
        </w:rPr>
        <w:t>from</w:t>
      </w:r>
      <w:proofErr w:type="spellEnd"/>
      <w:r>
        <w:rPr>
          <w:lang w:val="es-MX"/>
        </w:rPr>
        <w:t xml:space="preserve"> Michigan </w:t>
      </w:r>
      <w:proofErr w:type="spellStart"/>
      <w:r>
        <w:rPr>
          <w:lang w:val="es-MX"/>
        </w:rPr>
        <w:t>Technological</w:t>
      </w:r>
      <w:proofErr w:type="spellEnd"/>
      <w:r>
        <w:rPr>
          <w:lang w:val="es-MX"/>
        </w:rPr>
        <w:t xml:space="preserve"> </w:t>
      </w:r>
      <w:proofErr w:type="spellStart"/>
      <w:r>
        <w:rPr>
          <w:lang w:val="es-MX"/>
        </w:rPr>
        <w:t>University</w:t>
      </w:r>
      <w:proofErr w:type="spellEnd"/>
      <w:r>
        <w:rPr>
          <w:lang w:val="es-MX"/>
        </w:rPr>
        <w:t xml:space="preserve"> </w:t>
      </w:r>
      <w:proofErr w:type="spellStart"/>
      <w:r>
        <w:rPr>
          <w:lang w:val="es-MX"/>
        </w:rPr>
        <w:t>through</w:t>
      </w:r>
      <w:proofErr w:type="spellEnd"/>
      <w:r>
        <w:rPr>
          <w:lang w:val="es-MX"/>
        </w:rPr>
        <w:t xml:space="preserve"> </w:t>
      </w:r>
      <w:proofErr w:type="spellStart"/>
      <w:r>
        <w:rPr>
          <w:lang w:val="es-MX"/>
        </w:rPr>
        <w:t>their</w:t>
      </w:r>
      <w:proofErr w:type="spellEnd"/>
      <w:r>
        <w:rPr>
          <w:lang w:val="es-MX"/>
        </w:rPr>
        <w:t xml:space="preserve"> Exchange </w:t>
      </w:r>
      <w:proofErr w:type="spellStart"/>
      <w:r>
        <w:rPr>
          <w:lang w:val="es-MX"/>
        </w:rPr>
        <w:t>Program</w:t>
      </w:r>
      <w:proofErr w:type="spellEnd"/>
      <w:r w:rsidRPr="00C152AD">
        <w:rPr>
          <w:lang w:val="es-MX"/>
        </w:rPr>
        <w:t>.</w:t>
      </w:r>
      <w:r>
        <w:t xml:space="preserve"> She has been a consultant with ORTOPLAN Engineering and ERAH Environmental Hydrologic and Risk Studies in Hermosillo, Mexico.  </w:t>
      </w:r>
      <w:r w:rsidRPr="00C152AD">
        <w:t xml:space="preserve">She has </w:t>
      </w:r>
      <w:r w:rsidR="005F46CB">
        <w:t xml:space="preserve">participated </w:t>
      </w:r>
      <w:r w:rsidRPr="00C152AD">
        <w:t>in projects such as the Transboundary</w:t>
      </w:r>
      <w:r>
        <w:t xml:space="preserve"> </w:t>
      </w:r>
      <w:r w:rsidRPr="00C152AD">
        <w:t>Aquifer Assessment Program (TAAP) and the Water Research and Planning Innovations for</w:t>
      </w:r>
      <w:r>
        <w:t xml:space="preserve"> </w:t>
      </w:r>
      <w:r w:rsidRPr="00C152AD">
        <w:t>Dryland Systems Program (Water RAPIDS). Her research areas include climate change,</w:t>
      </w:r>
      <w:r>
        <w:t xml:space="preserve"> </w:t>
      </w:r>
      <w:r w:rsidRPr="00C152AD">
        <w:t>stakeholder engagement, and water resources management in transboundary settings, particularly</w:t>
      </w:r>
      <w:r>
        <w:t xml:space="preserve"> </w:t>
      </w:r>
      <w:r w:rsidRPr="00C152AD">
        <w:t>in the Santa Cruz Aquifer.</w:t>
      </w:r>
    </w:p>
    <w:p w:rsidR="00AB3393" w:rsidRDefault="00AB3393" w:rsidP="00AB3393">
      <w:pPr>
        <w:jc w:val="left"/>
        <w:rPr>
          <w:rFonts w:ascii="Times New Roman" w:hAnsi="Times New Roman" w:cs="Times New Roman"/>
        </w:rPr>
      </w:pPr>
    </w:p>
    <w:p w:rsidR="005C4AC6" w:rsidRDefault="00A0659D" w:rsidP="00FF6DA6">
      <w:pPr>
        <w:jc w:val="left"/>
        <w:rPr>
          <w:u w:val="single"/>
        </w:rPr>
      </w:pPr>
      <w:r w:rsidRPr="003E4080">
        <w:rPr>
          <w:u w:val="single"/>
        </w:rPr>
        <w:t>Selected Publications</w:t>
      </w:r>
    </w:p>
    <w:tbl>
      <w:tblPr>
        <w:tblStyle w:val="TableGrid"/>
        <w:tblW w:w="936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10"/>
        <w:gridCol w:w="8550"/>
      </w:tblGrid>
      <w:tr w:rsidR="00A0659D" w:rsidRPr="00C152AD" w:rsidTr="007E5F9E">
        <w:trPr>
          <w:trHeight w:val="639"/>
        </w:trPr>
        <w:tc>
          <w:tcPr>
            <w:tcW w:w="810" w:type="dxa"/>
            <w:hideMark/>
          </w:tcPr>
          <w:p w:rsidR="00A0659D" w:rsidRPr="00C152AD" w:rsidRDefault="00A0659D" w:rsidP="007E5F9E">
            <w:pPr>
              <w:spacing w:after="160"/>
            </w:pPr>
            <w:r w:rsidRPr="00C152AD">
              <w:t>2018</w:t>
            </w:r>
          </w:p>
        </w:tc>
        <w:tc>
          <w:tcPr>
            <w:tcW w:w="8550" w:type="dxa"/>
          </w:tcPr>
          <w:p w:rsidR="00A0659D" w:rsidRPr="00C152AD" w:rsidRDefault="00A0659D" w:rsidP="007E5F9E">
            <w:pPr>
              <w:rPr>
                <w:i/>
              </w:rPr>
            </w:pPr>
            <w:proofErr w:type="spellStart"/>
            <w:r w:rsidRPr="00C152AD">
              <w:t>Callegary</w:t>
            </w:r>
            <w:proofErr w:type="spellEnd"/>
            <w:r w:rsidRPr="00C152AD">
              <w:t xml:space="preserve">, J.B., </w:t>
            </w:r>
            <w:proofErr w:type="spellStart"/>
            <w:r w:rsidRPr="00C152AD">
              <w:t>Megdal</w:t>
            </w:r>
            <w:proofErr w:type="spellEnd"/>
            <w:r w:rsidRPr="00C152AD">
              <w:t xml:space="preserve">, S.B., </w:t>
            </w:r>
            <w:r w:rsidRPr="00C152AD">
              <w:rPr>
                <w:b/>
              </w:rPr>
              <w:t>Tapia, E.M</w:t>
            </w:r>
            <w:r w:rsidRPr="00C152AD">
              <w:t xml:space="preserve">., </w:t>
            </w:r>
            <w:proofErr w:type="spellStart"/>
            <w:r w:rsidRPr="00C152AD">
              <w:t>Minjárez</w:t>
            </w:r>
            <w:proofErr w:type="spellEnd"/>
            <w:r w:rsidRPr="00C152AD">
              <w:t xml:space="preserve">-Sosa, I., Petersen-Perlman, J.D., </w:t>
            </w:r>
            <w:proofErr w:type="spellStart"/>
            <w:r w:rsidRPr="00C152AD">
              <w:t>Monreal</w:t>
            </w:r>
            <w:proofErr w:type="spellEnd"/>
            <w:r w:rsidRPr="00C152AD">
              <w:t xml:space="preserve">, R., Gray, F., </w:t>
            </w:r>
            <w:proofErr w:type="spellStart"/>
            <w:r w:rsidRPr="00C152AD">
              <w:t>Grijalva</w:t>
            </w:r>
            <w:proofErr w:type="spellEnd"/>
            <w:r w:rsidRPr="00C152AD">
              <w:t>-Noriega, F. “Findings and lessons learned from the assessment of the Mexico-United States transboundary San Pedro and Santa Cruz aquifers: The utility of social science in applied hydrologic research.”</w:t>
            </w:r>
            <w:r w:rsidRPr="00C152AD">
              <w:rPr>
                <w:i/>
              </w:rPr>
              <w:t xml:space="preserve"> Journal of Hydrology: Regional Studies. </w:t>
            </w:r>
          </w:p>
        </w:tc>
      </w:tr>
      <w:tr w:rsidR="00A0659D" w:rsidRPr="00C152AD" w:rsidTr="007E5F9E">
        <w:trPr>
          <w:trHeight w:val="639"/>
        </w:trPr>
        <w:tc>
          <w:tcPr>
            <w:tcW w:w="810" w:type="dxa"/>
            <w:hideMark/>
          </w:tcPr>
          <w:p w:rsidR="00A0659D" w:rsidRPr="00C152AD" w:rsidRDefault="00A0659D" w:rsidP="007E5F9E">
            <w:pPr>
              <w:spacing w:after="160"/>
            </w:pPr>
            <w:r w:rsidRPr="00C152AD">
              <w:t>201</w:t>
            </w:r>
            <w:r>
              <w:t>7</w:t>
            </w:r>
          </w:p>
        </w:tc>
        <w:tc>
          <w:tcPr>
            <w:tcW w:w="8550" w:type="dxa"/>
          </w:tcPr>
          <w:p w:rsidR="00A0659D" w:rsidRPr="00C152AD" w:rsidRDefault="00A0659D" w:rsidP="007E5F9E">
            <w:r w:rsidRPr="00C152AD">
              <w:t xml:space="preserve">Mott </w:t>
            </w:r>
            <w:proofErr w:type="spellStart"/>
            <w:r w:rsidRPr="00C152AD">
              <w:t>Lacroix</w:t>
            </w:r>
            <w:proofErr w:type="spellEnd"/>
            <w:r w:rsidRPr="00C152AD">
              <w:t xml:space="preserve">, K. E., </w:t>
            </w:r>
            <w:r w:rsidRPr="00C152AD">
              <w:rPr>
                <w:b/>
              </w:rPr>
              <w:t>Tapia, Elia M</w:t>
            </w:r>
            <w:r w:rsidRPr="00C152AD">
              <w:t xml:space="preserve">., Springer, </w:t>
            </w:r>
            <w:proofErr w:type="gramStart"/>
            <w:r w:rsidRPr="00C152AD">
              <w:t>A</w:t>
            </w:r>
            <w:proofErr w:type="gramEnd"/>
            <w:r w:rsidRPr="00C152AD">
              <w:t xml:space="preserve">. “Environmental Flows in the Desert Rivers of the United States and Mexico: Synthesis of Available Data and Gap Analysis.” </w:t>
            </w:r>
            <w:r w:rsidRPr="00C152AD">
              <w:rPr>
                <w:i/>
              </w:rPr>
              <w:t>Journal of Arid Environments</w:t>
            </w:r>
            <w:r w:rsidRPr="00C152AD">
              <w:t xml:space="preserve"> 140: 67–78. doi:10.1016/j.jaridenv.2017.01.011.</w:t>
            </w:r>
          </w:p>
        </w:tc>
      </w:tr>
      <w:tr w:rsidR="00A0659D" w:rsidRPr="00C152AD" w:rsidTr="007E5F9E">
        <w:trPr>
          <w:trHeight w:val="639"/>
        </w:trPr>
        <w:tc>
          <w:tcPr>
            <w:tcW w:w="810" w:type="dxa"/>
            <w:hideMark/>
          </w:tcPr>
          <w:p w:rsidR="00A0659D" w:rsidRPr="00C152AD" w:rsidRDefault="00A0659D" w:rsidP="007E5F9E">
            <w:pPr>
              <w:spacing w:after="160"/>
            </w:pPr>
            <w:r w:rsidRPr="00C152AD">
              <w:t>2016</w:t>
            </w:r>
          </w:p>
        </w:tc>
        <w:tc>
          <w:tcPr>
            <w:tcW w:w="8550" w:type="dxa"/>
          </w:tcPr>
          <w:p w:rsidR="00A0659D" w:rsidRPr="00C152AD" w:rsidRDefault="00A0659D" w:rsidP="007E5F9E">
            <w:proofErr w:type="spellStart"/>
            <w:r w:rsidRPr="00C152AD">
              <w:rPr>
                <w:lang w:val="es-MX"/>
              </w:rPr>
              <w:t>Callegary</w:t>
            </w:r>
            <w:proofErr w:type="spellEnd"/>
            <w:r w:rsidRPr="00C152AD">
              <w:rPr>
                <w:lang w:val="es-MX"/>
              </w:rPr>
              <w:t xml:space="preserve">, J.B., </w:t>
            </w:r>
            <w:proofErr w:type="spellStart"/>
            <w:r w:rsidRPr="00C152AD">
              <w:rPr>
                <w:lang w:val="es-MX"/>
              </w:rPr>
              <w:t>Minjárez</w:t>
            </w:r>
            <w:proofErr w:type="spellEnd"/>
            <w:r w:rsidRPr="00C152AD">
              <w:rPr>
                <w:lang w:val="es-MX"/>
              </w:rPr>
              <w:t xml:space="preserve"> Sosa, I</w:t>
            </w:r>
            <w:r w:rsidRPr="00C152AD">
              <w:rPr>
                <w:b/>
                <w:lang w:val="es-MX"/>
              </w:rPr>
              <w:t>., Tapia, E.M.</w:t>
            </w:r>
            <w:r w:rsidRPr="00C152AD">
              <w:rPr>
                <w:lang w:val="es-MX"/>
              </w:rPr>
              <w:t>, dos Santos, P., Monreal</w:t>
            </w:r>
            <w:r>
              <w:rPr>
                <w:lang w:val="es-MX"/>
              </w:rPr>
              <w:t xml:space="preserve"> </w:t>
            </w:r>
            <w:r w:rsidRPr="00C152AD">
              <w:t xml:space="preserve">Saavedra, R., </w:t>
            </w:r>
            <w:proofErr w:type="spellStart"/>
            <w:r w:rsidRPr="00C152AD">
              <w:t>Grijalva</w:t>
            </w:r>
            <w:proofErr w:type="spellEnd"/>
            <w:r w:rsidRPr="00C152AD">
              <w:t xml:space="preserve"> Noriega, F.J., </w:t>
            </w:r>
            <w:proofErr w:type="spellStart"/>
            <w:r w:rsidRPr="00C152AD">
              <w:t>Huth</w:t>
            </w:r>
            <w:proofErr w:type="spellEnd"/>
            <w:r w:rsidRPr="00C152AD">
              <w:t xml:space="preserve">, A.K., Gray, F., Scott, C.A., </w:t>
            </w:r>
            <w:proofErr w:type="spellStart"/>
            <w:r w:rsidRPr="00C152AD">
              <w:t>Megdal</w:t>
            </w:r>
            <w:proofErr w:type="spellEnd"/>
            <w:r w:rsidRPr="00C152AD">
              <w:t xml:space="preserve">, S.B., Oroz Ramos, L.A., Rangel Medina, M., </w:t>
            </w:r>
            <w:proofErr w:type="spellStart"/>
            <w:r w:rsidRPr="00C152AD">
              <w:t>Leenhouts</w:t>
            </w:r>
            <w:proofErr w:type="spellEnd"/>
            <w:r w:rsidRPr="00C152AD">
              <w:t>, J.M., 2016, The Binational Study of the Transboundary San Pedro Aquifer: International Boundary and Water Commission, 170 p</w:t>
            </w:r>
          </w:p>
        </w:tc>
      </w:tr>
      <w:tr w:rsidR="00A0659D" w:rsidRPr="00C152AD" w:rsidTr="007E5F9E">
        <w:trPr>
          <w:trHeight w:val="639"/>
        </w:trPr>
        <w:tc>
          <w:tcPr>
            <w:tcW w:w="810" w:type="dxa"/>
            <w:hideMark/>
          </w:tcPr>
          <w:p w:rsidR="00A0659D" w:rsidRPr="00C152AD" w:rsidRDefault="00A0659D" w:rsidP="007E5F9E">
            <w:pPr>
              <w:spacing w:after="160"/>
            </w:pPr>
            <w:r w:rsidRPr="00C152AD">
              <w:t>2014</w:t>
            </w:r>
          </w:p>
        </w:tc>
        <w:tc>
          <w:tcPr>
            <w:tcW w:w="8550" w:type="dxa"/>
            <w:hideMark/>
          </w:tcPr>
          <w:p w:rsidR="00A0659D" w:rsidRPr="00C152AD" w:rsidRDefault="00A0659D" w:rsidP="007E5F9E">
            <w:r w:rsidRPr="00C152AD">
              <w:rPr>
                <w:b/>
              </w:rPr>
              <w:t>Tapia, Elia M</w:t>
            </w:r>
            <w:r w:rsidRPr="00C152AD">
              <w:t xml:space="preserve">., </w:t>
            </w:r>
            <w:proofErr w:type="spellStart"/>
            <w:r w:rsidRPr="00C152AD">
              <w:t>Minjarez</w:t>
            </w:r>
            <w:proofErr w:type="spellEnd"/>
            <w:r w:rsidRPr="00C152AD">
              <w:t xml:space="preserve">, J.I., </w:t>
            </w:r>
            <w:proofErr w:type="spellStart"/>
            <w:r w:rsidRPr="00C152AD">
              <w:t>Minjarez</w:t>
            </w:r>
            <w:proofErr w:type="spellEnd"/>
            <w:r w:rsidRPr="00C152AD">
              <w:t xml:space="preserve">, C.M., Espinoza, I.G., Use of Stella Software for the Modelling of Climate Change Impacts on Water Balance for the Rio Yaqui Basin, Sonora, Mexico. </w:t>
            </w:r>
            <w:r w:rsidRPr="00C152AD">
              <w:rPr>
                <w:i/>
              </w:rPr>
              <w:t xml:space="preserve">European Scientific Journal. </w:t>
            </w:r>
            <w:r w:rsidRPr="00C152AD">
              <w:t>Vol. 20, No. 14.</w:t>
            </w:r>
            <w:r>
              <w:t xml:space="preserve">                                                                    </w:t>
            </w:r>
          </w:p>
        </w:tc>
      </w:tr>
    </w:tbl>
    <w:p w:rsidR="00A0659D" w:rsidRPr="009903EB" w:rsidRDefault="00A0659D" w:rsidP="00FF6DA6">
      <w:pPr>
        <w:jc w:val="left"/>
        <w:rPr>
          <w:rFonts w:ascii="Arial" w:hAnsi="Arial" w:cs="Arial"/>
          <w:sz w:val="24"/>
          <w:szCs w:val="24"/>
        </w:rPr>
      </w:pPr>
    </w:p>
    <w:sectPr w:rsidR="00A0659D" w:rsidRPr="009903EB" w:rsidSect="007557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charset w:val="00"/>
    <w:family w:val="roman"/>
    <w:pitch w:val="default"/>
  </w:font>
  <w:font w:name="Arial Black">
    <w:panose1 w:val="020B0A04020102020204"/>
    <w:charset w:val="00"/>
    <w:family w:val="swiss"/>
    <w:pitch w:val="variable"/>
    <w:sig w:usb0="A00002AF" w:usb1="400078FB"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Droid Sans Fallback">
    <w:panose1 w:val="00000000000000000000"/>
    <w:charset w:val="00"/>
    <w:family w:val="roman"/>
    <w:notTrueType/>
    <w:pitch w:val="default"/>
  </w:font>
  <w:font w:name="DejaVu Sans">
    <w:panose1 w:val="00000000000000000000"/>
    <w:charset w:val="00"/>
    <w:family w:val="roman"/>
    <w:notTrueType/>
    <w:pitch w:val="default"/>
  </w:font>
  <w:font w:name="Times-Bold">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16882"/>
    <w:multiLevelType w:val="hybridMultilevel"/>
    <w:tmpl w:val="5EE83EE6"/>
    <w:lvl w:ilvl="0" w:tplc="8F728FD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F2"/>
    <w:rsid w:val="000254E7"/>
    <w:rsid w:val="00046775"/>
    <w:rsid w:val="00082C21"/>
    <w:rsid w:val="00102D80"/>
    <w:rsid w:val="00113049"/>
    <w:rsid w:val="001268DB"/>
    <w:rsid w:val="00133DE3"/>
    <w:rsid w:val="001C03A0"/>
    <w:rsid w:val="00221FFF"/>
    <w:rsid w:val="0027137F"/>
    <w:rsid w:val="002D07AE"/>
    <w:rsid w:val="002D5113"/>
    <w:rsid w:val="002F5A97"/>
    <w:rsid w:val="003007DE"/>
    <w:rsid w:val="003018CD"/>
    <w:rsid w:val="00321AAC"/>
    <w:rsid w:val="0035193D"/>
    <w:rsid w:val="003606BB"/>
    <w:rsid w:val="00360D3A"/>
    <w:rsid w:val="00376F03"/>
    <w:rsid w:val="003E4080"/>
    <w:rsid w:val="003E7371"/>
    <w:rsid w:val="004316CA"/>
    <w:rsid w:val="004A166C"/>
    <w:rsid w:val="004C4434"/>
    <w:rsid w:val="004D0255"/>
    <w:rsid w:val="0056656A"/>
    <w:rsid w:val="00571D91"/>
    <w:rsid w:val="00576EF3"/>
    <w:rsid w:val="00592A9D"/>
    <w:rsid w:val="005B6E76"/>
    <w:rsid w:val="005C4AC6"/>
    <w:rsid w:val="005F46CB"/>
    <w:rsid w:val="006204E3"/>
    <w:rsid w:val="006428B5"/>
    <w:rsid w:val="006449CB"/>
    <w:rsid w:val="006454A1"/>
    <w:rsid w:val="006769B7"/>
    <w:rsid w:val="00685C15"/>
    <w:rsid w:val="006B1818"/>
    <w:rsid w:val="006D5FCA"/>
    <w:rsid w:val="006E0262"/>
    <w:rsid w:val="00723DA8"/>
    <w:rsid w:val="00730501"/>
    <w:rsid w:val="0075570D"/>
    <w:rsid w:val="0078050B"/>
    <w:rsid w:val="007A60BF"/>
    <w:rsid w:val="00811165"/>
    <w:rsid w:val="00873486"/>
    <w:rsid w:val="0089679C"/>
    <w:rsid w:val="008C7600"/>
    <w:rsid w:val="008D5EB9"/>
    <w:rsid w:val="00975C38"/>
    <w:rsid w:val="00975FE7"/>
    <w:rsid w:val="009903EB"/>
    <w:rsid w:val="009F2610"/>
    <w:rsid w:val="009F3779"/>
    <w:rsid w:val="00A0659D"/>
    <w:rsid w:val="00A341CE"/>
    <w:rsid w:val="00AA7FA8"/>
    <w:rsid w:val="00AB3393"/>
    <w:rsid w:val="00AC6601"/>
    <w:rsid w:val="00AD020A"/>
    <w:rsid w:val="00B519BB"/>
    <w:rsid w:val="00BB092C"/>
    <w:rsid w:val="00BB23C3"/>
    <w:rsid w:val="00C0376E"/>
    <w:rsid w:val="00C11248"/>
    <w:rsid w:val="00C214D6"/>
    <w:rsid w:val="00C225CF"/>
    <w:rsid w:val="00C81C5C"/>
    <w:rsid w:val="00CA2056"/>
    <w:rsid w:val="00CA44E3"/>
    <w:rsid w:val="00CA4B53"/>
    <w:rsid w:val="00CD4E23"/>
    <w:rsid w:val="00D934D4"/>
    <w:rsid w:val="00EE28F2"/>
    <w:rsid w:val="00EF158A"/>
    <w:rsid w:val="00F009DB"/>
    <w:rsid w:val="00F50BF7"/>
    <w:rsid w:val="00F90DD2"/>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E60B"/>
  <w15:docId w15:val="{B928ADCC-72AB-470D-A2E6-DAEEE242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F5A97"/>
    <w:pPr>
      <w:keepNext/>
      <w:jc w:val="left"/>
      <w:outlineLvl w:val="0"/>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8F2"/>
    <w:rPr>
      <w:rFonts w:ascii="Tahoma" w:hAnsi="Tahoma" w:cs="Tahoma"/>
      <w:sz w:val="16"/>
      <w:szCs w:val="16"/>
    </w:rPr>
  </w:style>
  <w:style w:type="character" w:customStyle="1" w:styleId="BalloonTextChar">
    <w:name w:val="Balloon Text Char"/>
    <w:basedOn w:val="DefaultParagraphFont"/>
    <w:link w:val="BalloonText"/>
    <w:uiPriority w:val="99"/>
    <w:semiHidden/>
    <w:rsid w:val="00EE28F2"/>
    <w:rPr>
      <w:rFonts w:ascii="Tahoma" w:hAnsi="Tahoma" w:cs="Tahoma"/>
      <w:sz w:val="16"/>
      <w:szCs w:val="16"/>
    </w:rPr>
  </w:style>
  <w:style w:type="paragraph" w:styleId="PlainText">
    <w:name w:val="Plain Text"/>
    <w:basedOn w:val="Normal"/>
    <w:link w:val="PlainTextChar"/>
    <w:uiPriority w:val="99"/>
    <w:unhideWhenUsed/>
    <w:rsid w:val="00221FFF"/>
    <w:pPr>
      <w:jc w:val="left"/>
    </w:pPr>
    <w:rPr>
      <w:rFonts w:ascii="Calibri" w:hAnsi="Calibri"/>
      <w:szCs w:val="21"/>
    </w:rPr>
  </w:style>
  <w:style w:type="character" w:customStyle="1" w:styleId="PlainTextChar">
    <w:name w:val="Plain Text Char"/>
    <w:basedOn w:val="DefaultParagraphFont"/>
    <w:link w:val="PlainText"/>
    <w:uiPriority w:val="99"/>
    <w:rsid w:val="00221FFF"/>
    <w:rPr>
      <w:rFonts w:ascii="Calibri" w:hAnsi="Calibri"/>
      <w:szCs w:val="21"/>
    </w:rPr>
  </w:style>
  <w:style w:type="character" w:customStyle="1" w:styleId="Heading1Char">
    <w:name w:val="Heading 1 Char"/>
    <w:basedOn w:val="DefaultParagraphFont"/>
    <w:link w:val="Heading1"/>
    <w:rsid w:val="002F5A97"/>
    <w:rPr>
      <w:rFonts w:ascii="Times New Roman" w:eastAsia="Times New Roman" w:hAnsi="Times New Roman" w:cs="Times New Roman"/>
      <w:b/>
      <w:sz w:val="20"/>
    </w:rPr>
  </w:style>
  <w:style w:type="paragraph" w:styleId="NormalWeb">
    <w:name w:val="Normal (Web)"/>
    <w:basedOn w:val="Normal"/>
    <w:uiPriority w:val="99"/>
    <w:unhideWhenUsed/>
    <w:rsid w:val="00AA7FA8"/>
    <w:pPr>
      <w:spacing w:before="100" w:beforeAutospacing="1" w:after="100" w:afterAutospacing="1"/>
      <w:jc w:val="left"/>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CA4B53"/>
    <w:pPr>
      <w:spacing w:after="160" w:line="256" w:lineRule="auto"/>
      <w:jc w:val="left"/>
    </w:pPr>
    <w:rPr>
      <w:rFonts w:ascii="Times New Roman" w:hAnsi="Times New Roman" w:cs="Times New Roman"/>
      <w:b/>
      <w:color w:val="000000"/>
      <w:sz w:val="24"/>
      <w:szCs w:val="24"/>
    </w:rPr>
  </w:style>
  <w:style w:type="character" w:customStyle="1" w:styleId="BodyText2Char">
    <w:name w:val="Body Text 2 Char"/>
    <w:basedOn w:val="DefaultParagraphFont"/>
    <w:link w:val="BodyText2"/>
    <w:uiPriority w:val="99"/>
    <w:rsid w:val="00CA4B53"/>
    <w:rPr>
      <w:rFonts w:ascii="Times New Roman" w:hAnsi="Times New Roman" w:cs="Times New Roman"/>
      <w:b/>
      <w:color w:val="000000"/>
      <w:sz w:val="24"/>
      <w:szCs w:val="24"/>
    </w:rPr>
  </w:style>
  <w:style w:type="paragraph" w:styleId="BodyText">
    <w:name w:val="Body Text"/>
    <w:basedOn w:val="Normal"/>
    <w:link w:val="BodyTextChar"/>
    <w:uiPriority w:val="99"/>
    <w:semiHidden/>
    <w:unhideWhenUsed/>
    <w:rsid w:val="00CA4B53"/>
    <w:pPr>
      <w:spacing w:after="120"/>
    </w:pPr>
  </w:style>
  <w:style w:type="character" w:customStyle="1" w:styleId="BodyTextChar">
    <w:name w:val="Body Text Char"/>
    <w:basedOn w:val="DefaultParagraphFont"/>
    <w:link w:val="BodyText"/>
    <w:uiPriority w:val="99"/>
    <w:semiHidden/>
    <w:rsid w:val="00CA4B53"/>
  </w:style>
  <w:style w:type="table" w:styleId="TableGrid">
    <w:name w:val="Table Grid"/>
    <w:basedOn w:val="TableNormal"/>
    <w:uiPriority w:val="39"/>
    <w:rsid w:val="005C4AC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C4AC6"/>
    <w:pPr>
      <w:ind w:left="720"/>
      <w:contextualSpacing/>
      <w:jc w:val="left"/>
    </w:pPr>
    <w:rPr>
      <w:rFonts w:ascii="Times New Roman" w:eastAsia="ヒラギノ角ゴ Pro W3"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6694">
      <w:bodyDiv w:val="1"/>
      <w:marLeft w:val="0"/>
      <w:marRight w:val="0"/>
      <w:marTop w:val="0"/>
      <w:marBottom w:val="0"/>
      <w:divBdr>
        <w:top w:val="none" w:sz="0" w:space="0" w:color="auto"/>
        <w:left w:val="none" w:sz="0" w:space="0" w:color="auto"/>
        <w:bottom w:val="none" w:sz="0" w:space="0" w:color="auto"/>
        <w:right w:val="none" w:sz="0" w:space="0" w:color="auto"/>
      </w:divBdr>
    </w:div>
    <w:div w:id="219562010">
      <w:bodyDiv w:val="1"/>
      <w:marLeft w:val="0"/>
      <w:marRight w:val="0"/>
      <w:marTop w:val="0"/>
      <w:marBottom w:val="0"/>
      <w:divBdr>
        <w:top w:val="none" w:sz="0" w:space="0" w:color="auto"/>
        <w:left w:val="none" w:sz="0" w:space="0" w:color="auto"/>
        <w:bottom w:val="none" w:sz="0" w:space="0" w:color="auto"/>
        <w:right w:val="none" w:sz="0" w:space="0" w:color="auto"/>
      </w:divBdr>
    </w:div>
    <w:div w:id="256716192">
      <w:bodyDiv w:val="1"/>
      <w:marLeft w:val="0"/>
      <w:marRight w:val="0"/>
      <w:marTop w:val="0"/>
      <w:marBottom w:val="0"/>
      <w:divBdr>
        <w:top w:val="none" w:sz="0" w:space="0" w:color="auto"/>
        <w:left w:val="none" w:sz="0" w:space="0" w:color="auto"/>
        <w:bottom w:val="none" w:sz="0" w:space="0" w:color="auto"/>
        <w:right w:val="none" w:sz="0" w:space="0" w:color="auto"/>
      </w:divBdr>
    </w:div>
    <w:div w:id="424113755">
      <w:bodyDiv w:val="1"/>
      <w:marLeft w:val="0"/>
      <w:marRight w:val="0"/>
      <w:marTop w:val="0"/>
      <w:marBottom w:val="0"/>
      <w:divBdr>
        <w:top w:val="none" w:sz="0" w:space="0" w:color="auto"/>
        <w:left w:val="none" w:sz="0" w:space="0" w:color="auto"/>
        <w:bottom w:val="none" w:sz="0" w:space="0" w:color="auto"/>
        <w:right w:val="none" w:sz="0" w:space="0" w:color="auto"/>
      </w:divBdr>
    </w:div>
    <w:div w:id="438764918">
      <w:bodyDiv w:val="1"/>
      <w:marLeft w:val="0"/>
      <w:marRight w:val="0"/>
      <w:marTop w:val="0"/>
      <w:marBottom w:val="0"/>
      <w:divBdr>
        <w:top w:val="none" w:sz="0" w:space="0" w:color="auto"/>
        <w:left w:val="none" w:sz="0" w:space="0" w:color="auto"/>
        <w:bottom w:val="none" w:sz="0" w:space="0" w:color="auto"/>
        <w:right w:val="none" w:sz="0" w:space="0" w:color="auto"/>
      </w:divBdr>
    </w:div>
    <w:div w:id="584605665">
      <w:bodyDiv w:val="1"/>
      <w:marLeft w:val="0"/>
      <w:marRight w:val="0"/>
      <w:marTop w:val="0"/>
      <w:marBottom w:val="0"/>
      <w:divBdr>
        <w:top w:val="none" w:sz="0" w:space="0" w:color="auto"/>
        <w:left w:val="none" w:sz="0" w:space="0" w:color="auto"/>
        <w:bottom w:val="none" w:sz="0" w:space="0" w:color="auto"/>
        <w:right w:val="none" w:sz="0" w:space="0" w:color="auto"/>
      </w:divBdr>
    </w:div>
    <w:div w:id="672490562">
      <w:bodyDiv w:val="1"/>
      <w:marLeft w:val="0"/>
      <w:marRight w:val="0"/>
      <w:marTop w:val="0"/>
      <w:marBottom w:val="0"/>
      <w:divBdr>
        <w:top w:val="none" w:sz="0" w:space="0" w:color="auto"/>
        <w:left w:val="none" w:sz="0" w:space="0" w:color="auto"/>
        <w:bottom w:val="none" w:sz="0" w:space="0" w:color="auto"/>
        <w:right w:val="none" w:sz="0" w:space="0" w:color="auto"/>
      </w:divBdr>
    </w:div>
    <w:div w:id="754976233">
      <w:bodyDiv w:val="1"/>
      <w:marLeft w:val="0"/>
      <w:marRight w:val="0"/>
      <w:marTop w:val="0"/>
      <w:marBottom w:val="0"/>
      <w:divBdr>
        <w:top w:val="none" w:sz="0" w:space="0" w:color="auto"/>
        <w:left w:val="none" w:sz="0" w:space="0" w:color="auto"/>
        <w:bottom w:val="none" w:sz="0" w:space="0" w:color="auto"/>
        <w:right w:val="none" w:sz="0" w:space="0" w:color="auto"/>
      </w:divBdr>
    </w:div>
    <w:div w:id="921138136">
      <w:bodyDiv w:val="1"/>
      <w:marLeft w:val="0"/>
      <w:marRight w:val="0"/>
      <w:marTop w:val="0"/>
      <w:marBottom w:val="0"/>
      <w:divBdr>
        <w:top w:val="none" w:sz="0" w:space="0" w:color="auto"/>
        <w:left w:val="none" w:sz="0" w:space="0" w:color="auto"/>
        <w:bottom w:val="none" w:sz="0" w:space="0" w:color="auto"/>
        <w:right w:val="none" w:sz="0" w:space="0" w:color="auto"/>
      </w:divBdr>
    </w:div>
    <w:div w:id="1034044173">
      <w:bodyDiv w:val="1"/>
      <w:marLeft w:val="0"/>
      <w:marRight w:val="0"/>
      <w:marTop w:val="0"/>
      <w:marBottom w:val="0"/>
      <w:divBdr>
        <w:top w:val="none" w:sz="0" w:space="0" w:color="auto"/>
        <w:left w:val="none" w:sz="0" w:space="0" w:color="auto"/>
        <w:bottom w:val="none" w:sz="0" w:space="0" w:color="auto"/>
        <w:right w:val="none" w:sz="0" w:space="0" w:color="auto"/>
      </w:divBdr>
    </w:div>
    <w:div w:id="1132136801">
      <w:bodyDiv w:val="1"/>
      <w:marLeft w:val="0"/>
      <w:marRight w:val="0"/>
      <w:marTop w:val="0"/>
      <w:marBottom w:val="0"/>
      <w:divBdr>
        <w:top w:val="none" w:sz="0" w:space="0" w:color="auto"/>
        <w:left w:val="none" w:sz="0" w:space="0" w:color="auto"/>
        <w:bottom w:val="none" w:sz="0" w:space="0" w:color="auto"/>
        <w:right w:val="none" w:sz="0" w:space="0" w:color="auto"/>
      </w:divBdr>
    </w:div>
    <w:div w:id="1145780212">
      <w:bodyDiv w:val="1"/>
      <w:marLeft w:val="0"/>
      <w:marRight w:val="0"/>
      <w:marTop w:val="0"/>
      <w:marBottom w:val="0"/>
      <w:divBdr>
        <w:top w:val="none" w:sz="0" w:space="0" w:color="auto"/>
        <w:left w:val="none" w:sz="0" w:space="0" w:color="auto"/>
        <w:bottom w:val="none" w:sz="0" w:space="0" w:color="auto"/>
        <w:right w:val="none" w:sz="0" w:space="0" w:color="auto"/>
      </w:divBdr>
    </w:div>
    <w:div w:id="1282687692">
      <w:bodyDiv w:val="1"/>
      <w:marLeft w:val="0"/>
      <w:marRight w:val="0"/>
      <w:marTop w:val="0"/>
      <w:marBottom w:val="0"/>
      <w:divBdr>
        <w:top w:val="none" w:sz="0" w:space="0" w:color="auto"/>
        <w:left w:val="none" w:sz="0" w:space="0" w:color="auto"/>
        <w:bottom w:val="none" w:sz="0" w:space="0" w:color="auto"/>
        <w:right w:val="none" w:sz="0" w:space="0" w:color="auto"/>
      </w:divBdr>
    </w:div>
    <w:div w:id="1386761034">
      <w:bodyDiv w:val="1"/>
      <w:marLeft w:val="0"/>
      <w:marRight w:val="0"/>
      <w:marTop w:val="0"/>
      <w:marBottom w:val="0"/>
      <w:divBdr>
        <w:top w:val="none" w:sz="0" w:space="0" w:color="auto"/>
        <w:left w:val="none" w:sz="0" w:space="0" w:color="auto"/>
        <w:bottom w:val="none" w:sz="0" w:space="0" w:color="auto"/>
        <w:right w:val="none" w:sz="0" w:space="0" w:color="auto"/>
      </w:divBdr>
    </w:div>
    <w:div w:id="1541088137">
      <w:bodyDiv w:val="1"/>
      <w:marLeft w:val="0"/>
      <w:marRight w:val="0"/>
      <w:marTop w:val="0"/>
      <w:marBottom w:val="0"/>
      <w:divBdr>
        <w:top w:val="none" w:sz="0" w:space="0" w:color="auto"/>
        <w:left w:val="none" w:sz="0" w:space="0" w:color="auto"/>
        <w:bottom w:val="none" w:sz="0" w:space="0" w:color="auto"/>
        <w:right w:val="none" w:sz="0" w:space="0" w:color="auto"/>
      </w:divBdr>
    </w:div>
    <w:div w:id="1545361776">
      <w:bodyDiv w:val="1"/>
      <w:marLeft w:val="0"/>
      <w:marRight w:val="0"/>
      <w:marTop w:val="0"/>
      <w:marBottom w:val="0"/>
      <w:divBdr>
        <w:top w:val="none" w:sz="0" w:space="0" w:color="auto"/>
        <w:left w:val="none" w:sz="0" w:space="0" w:color="auto"/>
        <w:bottom w:val="none" w:sz="0" w:space="0" w:color="auto"/>
        <w:right w:val="none" w:sz="0" w:space="0" w:color="auto"/>
      </w:divBdr>
    </w:div>
    <w:div w:id="1552306547">
      <w:bodyDiv w:val="1"/>
      <w:marLeft w:val="0"/>
      <w:marRight w:val="0"/>
      <w:marTop w:val="0"/>
      <w:marBottom w:val="0"/>
      <w:divBdr>
        <w:top w:val="none" w:sz="0" w:space="0" w:color="auto"/>
        <w:left w:val="none" w:sz="0" w:space="0" w:color="auto"/>
        <w:bottom w:val="none" w:sz="0" w:space="0" w:color="auto"/>
        <w:right w:val="none" w:sz="0" w:space="0" w:color="auto"/>
      </w:divBdr>
    </w:div>
    <w:div w:id="1622414737">
      <w:bodyDiv w:val="1"/>
      <w:marLeft w:val="0"/>
      <w:marRight w:val="0"/>
      <w:marTop w:val="0"/>
      <w:marBottom w:val="0"/>
      <w:divBdr>
        <w:top w:val="none" w:sz="0" w:space="0" w:color="auto"/>
        <w:left w:val="none" w:sz="0" w:space="0" w:color="auto"/>
        <w:bottom w:val="none" w:sz="0" w:space="0" w:color="auto"/>
        <w:right w:val="none" w:sz="0" w:space="0" w:color="auto"/>
      </w:divBdr>
    </w:div>
    <w:div w:id="1633054108">
      <w:bodyDiv w:val="1"/>
      <w:marLeft w:val="0"/>
      <w:marRight w:val="0"/>
      <w:marTop w:val="0"/>
      <w:marBottom w:val="0"/>
      <w:divBdr>
        <w:top w:val="none" w:sz="0" w:space="0" w:color="auto"/>
        <w:left w:val="none" w:sz="0" w:space="0" w:color="auto"/>
        <w:bottom w:val="none" w:sz="0" w:space="0" w:color="auto"/>
        <w:right w:val="none" w:sz="0" w:space="0" w:color="auto"/>
      </w:divBdr>
    </w:div>
    <w:div w:id="1661227128">
      <w:bodyDiv w:val="1"/>
      <w:marLeft w:val="0"/>
      <w:marRight w:val="0"/>
      <w:marTop w:val="0"/>
      <w:marBottom w:val="0"/>
      <w:divBdr>
        <w:top w:val="none" w:sz="0" w:space="0" w:color="auto"/>
        <w:left w:val="none" w:sz="0" w:space="0" w:color="auto"/>
        <w:bottom w:val="none" w:sz="0" w:space="0" w:color="auto"/>
        <w:right w:val="none" w:sz="0" w:space="0" w:color="auto"/>
      </w:divBdr>
    </w:div>
    <w:div w:id="1780948179">
      <w:bodyDiv w:val="1"/>
      <w:marLeft w:val="0"/>
      <w:marRight w:val="0"/>
      <w:marTop w:val="0"/>
      <w:marBottom w:val="0"/>
      <w:divBdr>
        <w:top w:val="none" w:sz="0" w:space="0" w:color="auto"/>
        <w:left w:val="none" w:sz="0" w:space="0" w:color="auto"/>
        <w:bottom w:val="none" w:sz="0" w:space="0" w:color="auto"/>
        <w:right w:val="none" w:sz="0" w:space="0" w:color="auto"/>
      </w:divBdr>
    </w:div>
    <w:div w:id="1811555807">
      <w:bodyDiv w:val="1"/>
      <w:marLeft w:val="0"/>
      <w:marRight w:val="0"/>
      <w:marTop w:val="0"/>
      <w:marBottom w:val="0"/>
      <w:divBdr>
        <w:top w:val="none" w:sz="0" w:space="0" w:color="auto"/>
        <w:left w:val="none" w:sz="0" w:space="0" w:color="auto"/>
        <w:bottom w:val="none" w:sz="0" w:space="0" w:color="auto"/>
        <w:right w:val="none" w:sz="0" w:space="0" w:color="auto"/>
      </w:divBdr>
    </w:div>
    <w:div w:id="1827279863">
      <w:bodyDiv w:val="1"/>
      <w:marLeft w:val="0"/>
      <w:marRight w:val="0"/>
      <w:marTop w:val="0"/>
      <w:marBottom w:val="0"/>
      <w:divBdr>
        <w:top w:val="none" w:sz="0" w:space="0" w:color="auto"/>
        <w:left w:val="none" w:sz="0" w:space="0" w:color="auto"/>
        <w:bottom w:val="none" w:sz="0" w:space="0" w:color="auto"/>
        <w:right w:val="none" w:sz="0" w:space="0" w:color="auto"/>
      </w:divBdr>
    </w:div>
    <w:div w:id="2103791043">
      <w:bodyDiv w:val="1"/>
      <w:marLeft w:val="0"/>
      <w:marRight w:val="0"/>
      <w:marTop w:val="0"/>
      <w:marBottom w:val="0"/>
      <w:divBdr>
        <w:top w:val="none" w:sz="0" w:space="0" w:color="auto"/>
        <w:left w:val="none" w:sz="0" w:space="0" w:color="auto"/>
        <w:bottom w:val="none" w:sz="0" w:space="0" w:color="auto"/>
        <w:right w:val="none" w:sz="0" w:space="0" w:color="auto"/>
      </w:divBdr>
    </w:div>
    <w:div w:id="2141065899">
      <w:bodyDiv w:val="1"/>
      <w:marLeft w:val="0"/>
      <w:marRight w:val="0"/>
      <w:marTop w:val="0"/>
      <w:marBottom w:val="0"/>
      <w:divBdr>
        <w:top w:val="none" w:sz="0" w:space="0" w:color="auto"/>
        <w:left w:val="none" w:sz="0" w:space="0" w:color="auto"/>
        <w:bottom w:val="none" w:sz="0" w:space="0" w:color="auto"/>
        <w:right w:val="none" w:sz="0" w:space="0" w:color="auto"/>
      </w:divBdr>
    </w:div>
    <w:div w:id="21425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UTEPCSS</dc:creator>
  <cp:lastModifiedBy>Hargrove, William L</cp:lastModifiedBy>
  <cp:revision>9</cp:revision>
  <cp:lastPrinted>2016-03-11T20:05:00Z</cp:lastPrinted>
  <dcterms:created xsi:type="dcterms:W3CDTF">2019-03-26T17:43:00Z</dcterms:created>
  <dcterms:modified xsi:type="dcterms:W3CDTF">2019-03-26T18:44:00Z</dcterms:modified>
</cp:coreProperties>
</file>