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0BFD" w14:textId="5F269DA4" w:rsidR="007C5C72" w:rsidRDefault="007C5C72" w:rsidP="007C5C72">
      <w:pPr>
        <w:spacing w:line="480" w:lineRule="auto"/>
        <w:ind w:firstLine="720"/>
        <w:jc w:val="center"/>
        <w:rPr>
          <w:rFonts w:eastAsia="Calibri"/>
          <w:b/>
        </w:rPr>
      </w:pPr>
      <w:r w:rsidRPr="007C5C72">
        <w:rPr>
          <w:rFonts w:eastAsia="Calibri"/>
          <w:b/>
        </w:rPr>
        <w:t>What is Your Citizenship Status? Racial and Citizenship Profiling by Law Enforcement along the U.S.</w:t>
      </w:r>
      <w:r w:rsidR="004643C7">
        <w:rPr>
          <w:rFonts w:eastAsia="Calibri"/>
          <w:b/>
        </w:rPr>
        <w:t>-</w:t>
      </w:r>
      <w:r w:rsidR="004643C7" w:rsidRPr="004643C7">
        <w:rPr>
          <w:rFonts w:eastAsia="Calibri"/>
          <w:b/>
        </w:rPr>
        <w:t>México</w:t>
      </w:r>
      <w:r w:rsidRPr="007C5C72">
        <w:rPr>
          <w:rFonts w:eastAsia="Calibri"/>
          <w:b/>
        </w:rPr>
        <w:t xml:space="preserve"> Border</w:t>
      </w:r>
    </w:p>
    <w:p w14:paraId="1B50381D" w14:textId="77777777" w:rsidR="00067B02" w:rsidRPr="007705B1" w:rsidRDefault="00067B02" w:rsidP="007C5C72">
      <w:pPr>
        <w:spacing w:line="480" w:lineRule="auto"/>
        <w:ind w:firstLine="720"/>
        <w:jc w:val="center"/>
        <w:rPr>
          <w:rFonts w:eastAsia="Calibri"/>
          <w:b/>
        </w:rPr>
      </w:pPr>
    </w:p>
    <w:p w14:paraId="0C12ED97" w14:textId="77777777" w:rsidR="00067B02" w:rsidRPr="007705B1" w:rsidRDefault="00067B02" w:rsidP="007C5C72">
      <w:pPr>
        <w:spacing w:line="480" w:lineRule="auto"/>
        <w:ind w:firstLine="720"/>
        <w:jc w:val="center"/>
        <w:rPr>
          <w:rFonts w:eastAsia="Calibri"/>
          <w:b/>
        </w:rPr>
      </w:pPr>
    </w:p>
    <w:p w14:paraId="683691B5" w14:textId="3E8670C5" w:rsidR="00067B02" w:rsidRPr="007705B1" w:rsidRDefault="00067B02" w:rsidP="007C5C72">
      <w:pPr>
        <w:spacing w:line="480" w:lineRule="auto"/>
        <w:ind w:firstLine="720"/>
        <w:jc w:val="center"/>
        <w:rPr>
          <w:rFonts w:eastAsia="Calibri"/>
          <w:b/>
        </w:rPr>
      </w:pPr>
    </w:p>
    <w:p w14:paraId="46A11014" w14:textId="4AA79E84" w:rsidR="00F0649E" w:rsidRPr="007705B1" w:rsidRDefault="00F0649E" w:rsidP="007C5C72">
      <w:pPr>
        <w:spacing w:line="480" w:lineRule="auto"/>
        <w:ind w:firstLine="720"/>
        <w:jc w:val="center"/>
        <w:rPr>
          <w:rFonts w:eastAsia="Calibri"/>
          <w:b/>
        </w:rPr>
      </w:pPr>
    </w:p>
    <w:p w14:paraId="1B7915F5" w14:textId="07DD3E54" w:rsidR="00F0649E" w:rsidRPr="007705B1" w:rsidRDefault="00F0649E" w:rsidP="007C5C72">
      <w:pPr>
        <w:spacing w:line="480" w:lineRule="auto"/>
        <w:ind w:firstLine="720"/>
        <w:jc w:val="center"/>
        <w:rPr>
          <w:rFonts w:eastAsia="Calibri"/>
          <w:b/>
        </w:rPr>
      </w:pPr>
    </w:p>
    <w:p w14:paraId="4DACE2A6" w14:textId="3188F181" w:rsidR="00F0649E" w:rsidRPr="007705B1" w:rsidRDefault="00F0649E" w:rsidP="007C5C72">
      <w:pPr>
        <w:spacing w:line="480" w:lineRule="auto"/>
        <w:ind w:firstLine="720"/>
        <w:jc w:val="center"/>
        <w:rPr>
          <w:rFonts w:eastAsia="Calibri"/>
          <w:b/>
        </w:rPr>
      </w:pPr>
    </w:p>
    <w:p w14:paraId="15F6A5ED" w14:textId="77777777" w:rsidR="00067B02" w:rsidRPr="007705B1" w:rsidRDefault="00067B02" w:rsidP="007C5C72">
      <w:pPr>
        <w:spacing w:line="480" w:lineRule="auto"/>
        <w:ind w:firstLine="720"/>
        <w:jc w:val="center"/>
        <w:rPr>
          <w:rFonts w:eastAsia="Calibri"/>
          <w:b/>
        </w:rPr>
      </w:pPr>
    </w:p>
    <w:p w14:paraId="677A98E2" w14:textId="55F2E08E" w:rsidR="00067B02" w:rsidRPr="007705B1" w:rsidRDefault="00067B02" w:rsidP="007C5C72">
      <w:pPr>
        <w:spacing w:line="480" w:lineRule="auto"/>
        <w:ind w:firstLine="720"/>
        <w:jc w:val="center"/>
        <w:rPr>
          <w:rFonts w:eastAsia="Calibri"/>
          <w:lang w:val="pt-BR"/>
        </w:rPr>
      </w:pPr>
      <w:r w:rsidRPr="007705B1">
        <w:rPr>
          <w:rFonts w:eastAsia="Calibri"/>
          <w:lang w:val="pt-BR"/>
        </w:rPr>
        <w:t>*Maria Cristina Morales, Ph.D</w:t>
      </w:r>
    </w:p>
    <w:p w14:paraId="75C1C03A" w14:textId="3F082130" w:rsidR="00067B02" w:rsidRPr="007705B1" w:rsidRDefault="00067B02" w:rsidP="007C5C72">
      <w:pPr>
        <w:spacing w:line="480" w:lineRule="auto"/>
        <w:ind w:firstLine="720"/>
        <w:jc w:val="center"/>
        <w:rPr>
          <w:rFonts w:eastAsia="Calibri"/>
          <w:lang w:val="pt-BR"/>
        </w:rPr>
      </w:pPr>
      <w:r w:rsidRPr="007705B1">
        <w:rPr>
          <w:rFonts w:eastAsia="Calibri"/>
          <w:lang w:val="pt-BR"/>
        </w:rPr>
        <w:t xml:space="preserve">And </w:t>
      </w:r>
    </w:p>
    <w:p w14:paraId="35EE0B6D" w14:textId="45530175" w:rsidR="00067B02" w:rsidRPr="00067B02" w:rsidRDefault="00067B02" w:rsidP="007C5C72">
      <w:pPr>
        <w:spacing w:line="480" w:lineRule="auto"/>
        <w:ind w:firstLine="720"/>
        <w:jc w:val="center"/>
        <w:rPr>
          <w:rFonts w:eastAsia="Calibri"/>
        </w:rPr>
      </w:pPr>
      <w:r w:rsidRPr="00067B02">
        <w:rPr>
          <w:rFonts w:eastAsia="Calibri"/>
        </w:rPr>
        <w:t>Denise Delgado</w:t>
      </w:r>
    </w:p>
    <w:p w14:paraId="1C6BC68A" w14:textId="167DE3A0" w:rsidR="00067B02" w:rsidRPr="00067B02" w:rsidRDefault="00067B02" w:rsidP="007C5C72">
      <w:pPr>
        <w:spacing w:line="480" w:lineRule="auto"/>
        <w:ind w:firstLine="720"/>
        <w:jc w:val="center"/>
        <w:rPr>
          <w:rFonts w:eastAsia="Calibri"/>
        </w:rPr>
      </w:pPr>
      <w:r w:rsidRPr="00067B02">
        <w:rPr>
          <w:rFonts w:eastAsia="Calibri"/>
        </w:rPr>
        <w:t xml:space="preserve">Department of Sociology and Anthropology </w:t>
      </w:r>
    </w:p>
    <w:p w14:paraId="76924079" w14:textId="2F22408E" w:rsidR="00067B02" w:rsidRPr="00067B02" w:rsidRDefault="00067B02" w:rsidP="007C5C72">
      <w:pPr>
        <w:spacing w:line="480" w:lineRule="auto"/>
        <w:ind w:firstLine="720"/>
        <w:jc w:val="center"/>
        <w:rPr>
          <w:rFonts w:eastAsia="Calibri"/>
        </w:rPr>
      </w:pPr>
      <w:r w:rsidRPr="00067B02">
        <w:rPr>
          <w:rFonts w:eastAsia="Calibri"/>
        </w:rPr>
        <w:t xml:space="preserve">University of Texas at El Paso </w:t>
      </w:r>
    </w:p>
    <w:p w14:paraId="501365B2" w14:textId="61FE31E5" w:rsidR="00067B02" w:rsidRPr="00067B02" w:rsidRDefault="00067B02" w:rsidP="007C5C72">
      <w:pPr>
        <w:spacing w:line="480" w:lineRule="auto"/>
        <w:ind w:firstLine="720"/>
        <w:jc w:val="center"/>
        <w:rPr>
          <w:rFonts w:eastAsia="Calibri"/>
        </w:rPr>
      </w:pPr>
    </w:p>
    <w:p w14:paraId="2A36D1C2" w14:textId="245C08E0" w:rsidR="00067B02" w:rsidRPr="00067B02" w:rsidRDefault="00067B02" w:rsidP="00067B02">
      <w:pPr>
        <w:jc w:val="center"/>
      </w:pPr>
      <w:r w:rsidRPr="00067B02">
        <w:t>Border Studies Working Paper, Center for Inter-American and Border Studies, The University of Texas at El Paso</w:t>
      </w:r>
      <w:r w:rsidR="00D46C34">
        <w:t>.</w:t>
      </w:r>
    </w:p>
    <w:p w14:paraId="6A8AEFC2" w14:textId="4D5FCD5B" w:rsidR="00067B02" w:rsidRDefault="00067B02" w:rsidP="007C5C72">
      <w:pPr>
        <w:spacing w:line="480" w:lineRule="auto"/>
        <w:ind w:firstLine="720"/>
        <w:jc w:val="center"/>
        <w:rPr>
          <w:rFonts w:eastAsia="Calibri"/>
          <w:b/>
        </w:rPr>
      </w:pPr>
    </w:p>
    <w:p w14:paraId="6F55EC61" w14:textId="2F0B80C3" w:rsidR="00F0649E" w:rsidRDefault="00F0649E" w:rsidP="007C5C72">
      <w:pPr>
        <w:spacing w:line="480" w:lineRule="auto"/>
        <w:ind w:firstLine="720"/>
        <w:jc w:val="center"/>
        <w:rPr>
          <w:rFonts w:eastAsia="Calibri"/>
          <w:b/>
        </w:rPr>
      </w:pPr>
      <w:bookmarkStart w:id="0" w:name="_GoBack"/>
      <w:bookmarkEnd w:id="0"/>
    </w:p>
    <w:p w14:paraId="06A44841" w14:textId="795925ED" w:rsidR="00615A84" w:rsidRDefault="00067B02" w:rsidP="00615A84">
      <w:pPr>
        <w:rPr>
          <w:rFonts w:eastAsia="Calibri"/>
        </w:rPr>
      </w:pPr>
      <w:r w:rsidRPr="00067B02">
        <w:rPr>
          <w:rFonts w:eastAsia="Calibri"/>
        </w:rPr>
        <w:t xml:space="preserve">*Direct correspondence to Cristina Morales at </w:t>
      </w:r>
      <w:hyperlink r:id="rId8" w:history="1">
        <w:r w:rsidRPr="00067B02">
          <w:rPr>
            <w:rStyle w:val="Hyperlink"/>
            <w:rFonts w:eastAsia="Calibri"/>
          </w:rPr>
          <w:t>mcmorales@utep.edu</w:t>
        </w:r>
      </w:hyperlink>
      <w:r w:rsidRPr="00067B02">
        <w:rPr>
          <w:rFonts w:eastAsia="Calibri"/>
        </w:rPr>
        <w:t>.</w:t>
      </w:r>
      <w:r w:rsidR="00F0649E">
        <w:rPr>
          <w:rFonts w:eastAsia="Calibri"/>
        </w:rPr>
        <w:t xml:space="preserve">  </w:t>
      </w:r>
      <w:r w:rsidR="00615A84" w:rsidRPr="00615A84">
        <w:rPr>
          <w:rFonts w:eastAsia="Calibri"/>
        </w:rPr>
        <w:t xml:space="preserve">Please obtain permission from </w:t>
      </w:r>
      <w:r w:rsidR="00615A84">
        <w:rPr>
          <w:rFonts w:eastAsia="Calibri"/>
        </w:rPr>
        <w:t>Morales</w:t>
      </w:r>
      <w:r w:rsidR="00615A84" w:rsidRPr="00615A84">
        <w:rPr>
          <w:rFonts w:eastAsia="Calibri"/>
        </w:rPr>
        <w:t xml:space="preserve"> before making any use of this paper.  Copyright 201</w:t>
      </w:r>
      <w:r w:rsidR="00615A84">
        <w:rPr>
          <w:rFonts w:eastAsia="Calibri"/>
        </w:rPr>
        <w:t>7</w:t>
      </w:r>
      <w:r w:rsidR="00615A84" w:rsidRPr="00615A84">
        <w:rPr>
          <w:rFonts w:eastAsia="Calibri"/>
        </w:rPr>
        <w:t xml:space="preserve"> is retained by the authors.</w:t>
      </w:r>
    </w:p>
    <w:p w14:paraId="67749D35" w14:textId="77777777" w:rsidR="00615A84" w:rsidRDefault="00615A84" w:rsidP="00615A84">
      <w:pPr>
        <w:rPr>
          <w:rFonts w:eastAsia="Calibri"/>
        </w:rPr>
      </w:pPr>
    </w:p>
    <w:p w14:paraId="65816856" w14:textId="4E64A895" w:rsidR="00067B02" w:rsidRDefault="00F0649E" w:rsidP="00615A84">
      <w:pPr>
        <w:rPr>
          <w:rFonts w:eastAsia="Calibri"/>
        </w:rPr>
      </w:pPr>
      <w:r w:rsidRPr="00F0649E">
        <w:rPr>
          <w:rFonts w:eastAsia="Calibri"/>
        </w:rPr>
        <w:t>The data used in this study is based on a survey funded by the National Science Foundation (Award 1251897, PI- Ted Curry, Co-PI Maria Cristina Morales, and Co-PI Harmon Hosch) examining the immigration crime paradox</w:t>
      </w:r>
      <w:r>
        <w:rPr>
          <w:rFonts w:eastAsia="Calibri"/>
        </w:rPr>
        <w:t>.</w:t>
      </w:r>
      <w:r w:rsidR="002535D3">
        <w:rPr>
          <w:rFonts w:eastAsia="Calibri"/>
        </w:rPr>
        <w:t xml:space="preserve">  Work on this Working Paper was supported by the Graduate School, </w:t>
      </w:r>
      <w:r w:rsidR="008F4E8F">
        <w:rPr>
          <w:rFonts w:eastAsia="Calibri"/>
        </w:rPr>
        <w:t>University of Texas at El Paso.</w:t>
      </w:r>
      <w:r w:rsidR="00615A84">
        <w:rPr>
          <w:rFonts w:eastAsia="Calibri"/>
        </w:rPr>
        <w:t xml:space="preserve">  </w:t>
      </w:r>
    </w:p>
    <w:p w14:paraId="5EB4A9DB" w14:textId="47B24B11" w:rsidR="007705B1" w:rsidRDefault="007705B1" w:rsidP="00F0649E">
      <w:pPr>
        <w:rPr>
          <w:rFonts w:eastAsia="Calibri"/>
        </w:rPr>
      </w:pPr>
    </w:p>
    <w:p w14:paraId="1DF6AEFC" w14:textId="05BD4C24" w:rsidR="007705B1" w:rsidRDefault="007705B1" w:rsidP="00F0649E">
      <w:pPr>
        <w:rPr>
          <w:rFonts w:eastAsia="Calibri"/>
        </w:rPr>
      </w:pPr>
    </w:p>
    <w:p w14:paraId="4A1EA412" w14:textId="616EA3C7" w:rsidR="007705B1" w:rsidRDefault="007705B1" w:rsidP="00F0649E">
      <w:pPr>
        <w:rPr>
          <w:rFonts w:eastAsia="Calibri"/>
        </w:rPr>
      </w:pPr>
    </w:p>
    <w:p w14:paraId="6C8DEFB8" w14:textId="77777777" w:rsidR="007705B1" w:rsidRPr="00067B02" w:rsidRDefault="007705B1" w:rsidP="00F0649E">
      <w:pPr>
        <w:rPr>
          <w:rFonts w:eastAsia="Calibri"/>
        </w:rPr>
      </w:pPr>
    </w:p>
    <w:p w14:paraId="55617595" w14:textId="45DAE876" w:rsidR="00A022B4" w:rsidRPr="0098119C" w:rsidRDefault="007C5C72" w:rsidP="00A022B4">
      <w:pPr>
        <w:spacing w:line="480" w:lineRule="auto"/>
        <w:ind w:firstLine="720"/>
        <w:rPr>
          <w:rFonts w:eastAsia="Calibri"/>
        </w:rPr>
      </w:pPr>
      <w:r w:rsidRPr="00067B02">
        <w:rPr>
          <w:rFonts w:eastAsia="Calibri"/>
        </w:rPr>
        <w:t xml:space="preserve"> </w:t>
      </w:r>
      <w:r w:rsidRPr="007C5C72">
        <w:rPr>
          <w:rFonts w:eastAsia="Calibri"/>
        </w:rPr>
        <w:t xml:space="preserve">The Black Lives Matter movement has brought to light systemic racist practices in police departments in urban centers across the U.S.  </w:t>
      </w:r>
      <w:r w:rsidRPr="00CE692B">
        <w:rPr>
          <w:rFonts w:eastAsia="Calibri"/>
        </w:rPr>
        <w:t xml:space="preserve">Racial profiling, the use of race alone as criteria for deciding to stop or detain someone, </w:t>
      </w:r>
      <w:r w:rsidR="00CE692B" w:rsidRPr="00CE692B">
        <w:rPr>
          <w:rFonts w:eastAsia="Calibri"/>
        </w:rPr>
        <w:t xml:space="preserve">is an issue that </w:t>
      </w:r>
      <w:r w:rsidR="00CE692B">
        <w:rPr>
          <w:rFonts w:eastAsia="Calibri"/>
        </w:rPr>
        <w:t xml:space="preserve">has taken </w:t>
      </w:r>
      <w:r w:rsidR="00CE692B" w:rsidRPr="00CE692B">
        <w:rPr>
          <w:rFonts w:eastAsia="Calibri"/>
        </w:rPr>
        <w:t>on new salience after a series of killings of unarmed Black</w:t>
      </w:r>
      <w:r w:rsidR="00CE0680">
        <w:rPr>
          <w:rFonts w:eastAsia="Calibri"/>
        </w:rPr>
        <w:t>s</w:t>
      </w:r>
      <w:r w:rsidR="00CE692B" w:rsidRPr="00CE692B">
        <w:rPr>
          <w:rFonts w:eastAsia="Calibri"/>
        </w:rPr>
        <w:t xml:space="preserve"> by police officers.  Blacks, followed by Latinos, </w:t>
      </w:r>
      <w:r w:rsidR="00CE692B">
        <w:rPr>
          <w:rFonts w:eastAsia="Calibri"/>
        </w:rPr>
        <w:t>are</w:t>
      </w:r>
      <w:r w:rsidR="007705B1">
        <w:rPr>
          <w:rFonts w:eastAsia="Calibri"/>
        </w:rPr>
        <w:t xml:space="preserve"> keenly </w:t>
      </w:r>
      <w:r w:rsidR="00CE692B">
        <w:rPr>
          <w:rFonts w:eastAsia="Calibri"/>
        </w:rPr>
        <w:t xml:space="preserve">aware of the bias against them, particularly after they have contact with law enforcement (Weitzer and Tuch, 2005).  </w:t>
      </w:r>
      <w:r w:rsidR="00A022B4">
        <w:rPr>
          <w:rFonts w:eastAsia="Calibri"/>
        </w:rPr>
        <w:t xml:space="preserve">Indeed, Rios (2011) describes the process whereby stigmatized labels are imposed on young Latino and Black males as a </w:t>
      </w:r>
      <w:r w:rsidR="00A022B4" w:rsidRPr="0098119C">
        <w:rPr>
          <w:rFonts w:eastAsia="Calibri"/>
        </w:rPr>
        <w:t xml:space="preserve">“labeling hype” where agents of social control, including law enforcement officers, systematically target </w:t>
      </w:r>
      <w:r w:rsidR="00A022B4">
        <w:rPr>
          <w:rFonts w:eastAsia="Calibri"/>
        </w:rPr>
        <w:t xml:space="preserve">them </w:t>
      </w:r>
      <w:r w:rsidR="00A022B4" w:rsidRPr="0098119C">
        <w:rPr>
          <w:rFonts w:eastAsia="Calibri"/>
        </w:rPr>
        <w:t xml:space="preserve">as criminal risks, thus creating a cycle of criminalization. </w:t>
      </w:r>
      <w:r w:rsidR="00A022B4">
        <w:rPr>
          <w:rFonts w:eastAsia="Calibri"/>
        </w:rPr>
        <w:t xml:space="preserve"> </w:t>
      </w:r>
    </w:p>
    <w:p w14:paraId="16E8BACF" w14:textId="7C6BCFAB" w:rsidR="00CE0680" w:rsidRDefault="00A53613" w:rsidP="00A022B4">
      <w:pPr>
        <w:spacing w:line="480" w:lineRule="auto"/>
        <w:ind w:firstLine="720"/>
      </w:pPr>
      <w:r>
        <w:t>The overall objective of this study is to examine citizenship profiling, or who is suspect</w:t>
      </w:r>
      <w:r w:rsidR="00047227">
        <w:t>ed</w:t>
      </w:r>
      <w:r>
        <w:t xml:space="preserve"> of being </w:t>
      </w:r>
      <w:r w:rsidR="00047227">
        <w:t xml:space="preserve">undocumented </w:t>
      </w:r>
      <w:r>
        <w:t xml:space="preserve">and thus questioned about their citizenship status by law enforcement. </w:t>
      </w:r>
      <w:r w:rsidR="007E6072">
        <w:t xml:space="preserve">To many, </w:t>
      </w:r>
      <w:r w:rsidR="00BA2A4E">
        <w:t>the answer to th</w:t>
      </w:r>
      <w:r w:rsidR="00937A1D">
        <w:t xml:space="preserve">is </w:t>
      </w:r>
      <w:r w:rsidR="00BA2A4E">
        <w:t xml:space="preserve">question is </w:t>
      </w:r>
      <w:r w:rsidR="00047227">
        <w:t>“</w:t>
      </w:r>
      <w:r w:rsidR="00BA2A4E">
        <w:t>Mexican</w:t>
      </w:r>
      <w:r w:rsidR="007E6072">
        <w:t>.</w:t>
      </w:r>
      <w:r w:rsidR="00047227">
        <w:t>”</w:t>
      </w:r>
      <w:r w:rsidR="007E6072">
        <w:t xml:space="preserve">  Statistically, an unauthorized immigrant</w:t>
      </w:r>
      <w:r w:rsidR="00CE0680">
        <w:t>,</w:t>
      </w:r>
      <w:r w:rsidR="007E6072">
        <w:t xml:space="preserve"> in most minds</w:t>
      </w:r>
      <w:r w:rsidR="00CE0680">
        <w:t>,</w:t>
      </w:r>
      <w:r w:rsidR="007E6072">
        <w:t xml:space="preserve"> is Mexican</w:t>
      </w:r>
      <w:r w:rsidR="00BA2A4E">
        <w:t xml:space="preserve"> (Provine et al., 2016)</w:t>
      </w:r>
      <w:r w:rsidR="0058185B">
        <w:t>, although that raises question</w:t>
      </w:r>
      <w:r w:rsidR="004D444F">
        <w:t>s</w:t>
      </w:r>
      <w:r w:rsidR="0058185B">
        <w:t xml:space="preserve"> of what </w:t>
      </w:r>
      <w:r w:rsidR="004D444F">
        <w:t>constitutes</w:t>
      </w:r>
      <w:r w:rsidR="009C2F95">
        <w:t xml:space="preserve"> the</w:t>
      </w:r>
      <w:r w:rsidR="004D444F">
        <w:t xml:space="preserve"> “</w:t>
      </w:r>
      <w:r w:rsidR="0058185B">
        <w:t>Mexican</w:t>
      </w:r>
      <w:r w:rsidR="004D444F">
        <w:t xml:space="preserve">” phenotype. </w:t>
      </w:r>
      <w:r w:rsidR="007E6072">
        <w:t xml:space="preserve">  </w:t>
      </w:r>
      <w:r w:rsidR="00047227">
        <w:t xml:space="preserve">Despite such perceptions, Heyman (2014:111) reminded us that “illegality is not simply a state of being, but rather a matter of social-political construction and struggle.” </w:t>
      </w:r>
    </w:p>
    <w:p w14:paraId="79535D54" w14:textId="0267DEC7" w:rsidR="002139B3" w:rsidRDefault="007E6072" w:rsidP="00A022B4">
      <w:pPr>
        <w:spacing w:line="480" w:lineRule="auto"/>
        <w:ind w:firstLine="720"/>
        <w:rPr>
          <w:rFonts w:eastAsia="Calibri"/>
          <w:color w:val="0070C0"/>
        </w:rPr>
      </w:pPr>
      <w:r>
        <w:t>Mexicans, h</w:t>
      </w:r>
      <w:r w:rsidR="00A022B4">
        <w:rPr>
          <w:rFonts w:eastAsia="Calibri"/>
        </w:rPr>
        <w:t>ave historically been systematically labeled as “criminals,” “</w:t>
      </w:r>
      <w:r w:rsidR="00A022B4" w:rsidRPr="002139B3">
        <w:rPr>
          <w:rFonts w:eastAsia="Calibri"/>
          <w:i/>
        </w:rPr>
        <w:t>bandidos</w:t>
      </w:r>
      <w:r w:rsidR="00A022B4">
        <w:rPr>
          <w:rFonts w:eastAsia="Calibri"/>
        </w:rPr>
        <w:t xml:space="preserve"> (bandits),” “foreigners,” and “illegals” (Mirande, 1987; Saenz and Morales, 2015; Rios, 2011).  Today, </w:t>
      </w:r>
      <w:r w:rsidR="0058185B">
        <w:rPr>
          <w:rFonts w:eastAsia="Calibri"/>
        </w:rPr>
        <w:t xml:space="preserve">Mexicans, and </w:t>
      </w:r>
      <w:r w:rsidR="00A022B4">
        <w:rPr>
          <w:rFonts w:eastAsia="Calibri"/>
        </w:rPr>
        <w:t xml:space="preserve">Latina/os </w:t>
      </w:r>
      <w:r w:rsidR="0058185B">
        <w:rPr>
          <w:rFonts w:eastAsia="Calibri"/>
        </w:rPr>
        <w:t xml:space="preserve">in general, </w:t>
      </w:r>
      <w:r w:rsidR="00A022B4">
        <w:rPr>
          <w:rFonts w:eastAsia="Calibri"/>
        </w:rPr>
        <w:t xml:space="preserve">continue to be </w:t>
      </w:r>
      <w:r w:rsidR="002139B3">
        <w:rPr>
          <w:rFonts w:eastAsia="Calibri"/>
        </w:rPr>
        <w:t>disproportionately racial</w:t>
      </w:r>
      <w:r w:rsidR="00063DC5">
        <w:rPr>
          <w:rFonts w:eastAsia="Calibri"/>
        </w:rPr>
        <w:t>ly</w:t>
      </w:r>
      <w:r w:rsidR="002139B3">
        <w:rPr>
          <w:rFonts w:eastAsia="Calibri"/>
        </w:rPr>
        <w:t xml:space="preserve"> </w:t>
      </w:r>
      <w:r w:rsidR="009C2F95">
        <w:rPr>
          <w:rFonts w:eastAsia="Calibri"/>
        </w:rPr>
        <w:t xml:space="preserve">profiled </w:t>
      </w:r>
      <w:r w:rsidR="003D7363">
        <w:rPr>
          <w:rFonts w:eastAsia="Calibri"/>
        </w:rPr>
        <w:t xml:space="preserve">by </w:t>
      </w:r>
      <w:r w:rsidR="00063DC5">
        <w:rPr>
          <w:rFonts w:eastAsia="Calibri"/>
        </w:rPr>
        <w:t xml:space="preserve">law enforcement </w:t>
      </w:r>
      <w:r w:rsidR="002139B3">
        <w:rPr>
          <w:rFonts w:eastAsia="Calibri"/>
        </w:rPr>
        <w:t>(</w:t>
      </w:r>
      <w:r w:rsidR="00063DC5">
        <w:rPr>
          <w:rFonts w:eastAsia="Calibri"/>
        </w:rPr>
        <w:t xml:space="preserve">see </w:t>
      </w:r>
      <w:r w:rsidR="002139B3">
        <w:rPr>
          <w:rFonts w:eastAsia="Calibri"/>
        </w:rPr>
        <w:t>American Civil Liberties Union, 2008)</w:t>
      </w:r>
      <w:r w:rsidR="00A022B4">
        <w:rPr>
          <w:rFonts w:eastAsia="Calibri"/>
        </w:rPr>
        <w:t xml:space="preserve">.  The racial profiling of Latina/os has occurred despite evidence of low </w:t>
      </w:r>
      <w:r w:rsidR="002139B3">
        <w:rPr>
          <w:rFonts w:eastAsia="Calibri"/>
        </w:rPr>
        <w:t xml:space="preserve">criminal behavior </w:t>
      </w:r>
      <w:r w:rsidR="00CE0680">
        <w:rPr>
          <w:rFonts w:eastAsia="Calibri"/>
        </w:rPr>
        <w:t>from Latino immigrant groups</w:t>
      </w:r>
      <w:r w:rsidR="00A978FF">
        <w:rPr>
          <w:rFonts w:eastAsia="Calibri"/>
        </w:rPr>
        <w:t xml:space="preserve"> or what scholars refer to as </w:t>
      </w:r>
      <w:r w:rsidR="002139B3" w:rsidRPr="002139B3">
        <w:rPr>
          <w:rFonts w:eastAsia="Calibri"/>
        </w:rPr>
        <w:t xml:space="preserve">the </w:t>
      </w:r>
      <w:r w:rsidR="002139B3" w:rsidRPr="002139B3">
        <w:rPr>
          <w:rFonts w:eastAsia="Calibri"/>
          <w:i/>
        </w:rPr>
        <w:t>Latina/o Immigrant Crime Paradox</w:t>
      </w:r>
      <w:r w:rsidR="002139B3" w:rsidRPr="002139B3">
        <w:rPr>
          <w:rFonts w:eastAsia="Calibri"/>
        </w:rPr>
        <w:t xml:space="preserve"> (Burchfiekl and Silver</w:t>
      </w:r>
      <w:r w:rsidR="00EE588B">
        <w:rPr>
          <w:rFonts w:eastAsia="Calibri"/>
        </w:rPr>
        <w:t>,</w:t>
      </w:r>
      <w:r w:rsidR="002139B3" w:rsidRPr="002139B3">
        <w:rPr>
          <w:rFonts w:eastAsia="Calibri"/>
        </w:rPr>
        <w:t xml:space="preserve"> 2013; Hagan and Palloni</w:t>
      </w:r>
      <w:r w:rsidR="00EE588B">
        <w:rPr>
          <w:rFonts w:eastAsia="Calibri"/>
        </w:rPr>
        <w:t>,</w:t>
      </w:r>
      <w:r w:rsidR="002139B3" w:rsidRPr="002139B3">
        <w:rPr>
          <w:rFonts w:eastAsia="Calibri"/>
        </w:rPr>
        <w:t xml:space="preserve"> 1999; Kubrin and Ishizawa</w:t>
      </w:r>
      <w:r w:rsidR="00EE588B">
        <w:rPr>
          <w:rFonts w:eastAsia="Calibri"/>
        </w:rPr>
        <w:t>,</w:t>
      </w:r>
      <w:r w:rsidR="002139B3" w:rsidRPr="002139B3">
        <w:rPr>
          <w:rFonts w:eastAsia="Calibri"/>
        </w:rPr>
        <w:t xml:space="preserve"> 2012; Martinez</w:t>
      </w:r>
      <w:r w:rsidR="00EE588B">
        <w:rPr>
          <w:rFonts w:eastAsia="Calibri"/>
        </w:rPr>
        <w:t>,</w:t>
      </w:r>
      <w:r w:rsidR="002139B3" w:rsidRPr="002139B3">
        <w:rPr>
          <w:rFonts w:eastAsia="Calibri"/>
        </w:rPr>
        <w:t xml:space="preserve"> 2002</w:t>
      </w:r>
      <w:r w:rsidR="00EE588B">
        <w:rPr>
          <w:rFonts w:eastAsia="Calibri"/>
        </w:rPr>
        <w:t>;</w:t>
      </w:r>
      <w:r w:rsidR="002139B3" w:rsidRPr="002139B3">
        <w:rPr>
          <w:rFonts w:eastAsia="Calibri"/>
        </w:rPr>
        <w:t xml:space="preserve"> 2008</w:t>
      </w:r>
      <w:r w:rsidR="00EE588B">
        <w:rPr>
          <w:rFonts w:eastAsia="Calibri"/>
        </w:rPr>
        <w:t xml:space="preserve">; </w:t>
      </w:r>
      <w:r w:rsidR="002139B3" w:rsidRPr="002139B3">
        <w:rPr>
          <w:rFonts w:eastAsia="Calibri"/>
        </w:rPr>
        <w:t>2013; Martinez and Lee</w:t>
      </w:r>
      <w:r w:rsidR="00EE588B">
        <w:rPr>
          <w:rFonts w:eastAsia="Calibri"/>
        </w:rPr>
        <w:t>,</w:t>
      </w:r>
      <w:r w:rsidR="002139B3" w:rsidRPr="002139B3">
        <w:rPr>
          <w:rFonts w:eastAsia="Calibri"/>
        </w:rPr>
        <w:t xml:space="preserve"> </w:t>
      </w:r>
      <w:r w:rsidR="002139B3" w:rsidRPr="002139B3">
        <w:rPr>
          <w:rFonts w:eastAsia="Calibri"/>
        </w:rPr>
        <w:lastRenderedPageBreak/>
        <w:t>2000; Martinez and Stowell</w:t>
      </w:r>
      <w:r w:rsidR="00EE588B">
        <w:rPr>
          <w:rFonts w:eastAsia="Calibri"/>
        </w:rPr>
        <w:t>,</w:t>
      </w:r>
      <w:r w:rsidR="002139B3" w:rsidRPr="002139B3">
        <w:rPr>
          <w:rFonts w:eastAsia="Calibri"/>
        </w:rPr>
        <w:t xml:space="preserve"> 2012; Martinez and Valenzuela</w:t>
      </w:r>
      <w:r w:rsidR="00EE588B">
        <w:rPr>
          <w:rFonts w:eastAsia="Calibri"/>
        </w:rPr>
        <w:t>,</w:t>
      </w:r>
      <w:r w:rsidR="002139B3" w:rsidRPr="002139B3">
        <w:rPr>
          <w:rFonts w:eastAsia="Calibri"/>
        </w:rPr>
        <w:t xml:space="preserve"> 2006; Ousey and Kubrin</w:t>
      </w:r>
      <w:r w:rsidR="00EE588B">
        <w:rPr>
          <w:rFonts w:eastAsia="Calibri"/>
        </w:rPr>
        <w:t>,</w:t>
      </w:r>
      <w:r w:rsidR="002139B3" w:rsidRPr="002139B3">
        <w:rPr>
          <w:rFonts w:eastAsia="Calibri"/>
        </w:rPr>
        <w:t xml:space="preserve"> 2009; Sampson</w:t>
      </w:r>
      <w:r w:rsidR="00EE588B">
        <w:rPr>
          <w:rFonts w:eastAsia="Calibri"/>
        </w:rPr>
        <w:t>,</w:t>
      </w:r>
      <w:r w:rsidR="002139B3" w:rsidRPr="002139B3">
        <w:rPr>
          <w:rFonts w:eastAsia="Calibri"/>
        </w:rPr>
        <w:t xml:space="preserve"> 2008; Sampson and Bean</w:t>
      </w:r>
      <w:r w:rsidR="00EE588B">
        <w:rPr>
          <w:rFonts w:eastAsia="Calibri"/>
        </w:rPr>
        <w:t>,</w:t>
      </w:r>
      <w:r w:rsidR="002139B3" w:rsidRPr="002139B3">
        <w:rPr>
          <w:rFonts w:eastAsia="Calibri"/>
        </w:rPr>
        <w:t xml:space="preserve"> 2006; Stowell et al.</w:t>
      </w:r>
      <w:r w:rsidR="00EE588B">
        <w:rPr>
          <w:rFonts w:eastAsia="Calibri"/>
        </w:rPr>
        <w:t>,</w:t>
      </w:r>
      <w:r w:rsidR="002139B3" w:rsidRPr="002139B3">
        <w:rPr>
          <w:rFonts w:eastAsia="Calibri"/>
        </w:rPr>
        <w:t xml:space="preserve"> 2009; Thomas</w:t>
      </w:r>
      <w:r w:rsidR="00EE588B">
        <w:rPr>
          <w:rFonts w:eastAsia="Calibri"/>
        </w:rPr>
        <w:t>,</w:t>
      </w:r>
      <w:r w:rsidR="002139B3" w:rsidRPr="002139B3">
        <w:rPr>
          <w:rFonts w:eastAsia="Calibri"/>
        </w:rPr>
        <w:t xml:space="preserve"> 2011).  </w:t>
      </w:r>
    </w:p>
    <w:p w14:paraId="0E306052" w14:textId="78CB0454" w:rsidR="003D7363" w:rsidRDefault="00CE0680" w:rsidP="005E7C00">
      <w:pPr>
        <w:spacing w:line="480" w:lineRule="auto"/>
        <w:ind w:firstLine="720"/>
      </w:pPr>
      <w:r>
        <w:rPr>
          <w:rFonts w:eastAsia="Calibri"/>
        </w:rPr>
        <w:t>D</w:t>
      </w:r>
      <w:r w:rsidR="00C72189">
        <w:rPr>
          <w:rFonts w:eastAsia="Calibri"/>
        </w:rPr>
        <w:t xml:space="preserve">espite the low crime rates </w:t>
      </w:r>
      <w:r w:rsidR="00EE588B">
        <w:rPr>
          <w:rFonts w:eastAsia="Calibri"/>
        </w:rPr>
        <w:t xml:space="preserve">among </w:t>
      </w:r>
      <w:r w:rsidR="00C320D0">
        <w:rPr>
          <w:rFonts w:eastAsia="Calibri"/>
        </w:rPr>
        <w:t>foreign-born</w:t>
      </w:r>
      <w:r w:rsidR="00EE588B">
        <w:rPr>
          <w:rFonts w:eastAsia="Calibri"/>
        </w:rPr>
        <w:t xml:space="preserve"> Latina/os</w:t>
      </w:r>
      <w:r w:rsidR="00C320D0">
        <w:rPr>
          <w:rFonts w:eastAsia="Calibri"/>
        </w:rPr>
        <w:t xml:space="preserve">, </w:t>
      </w:r>
      <w:r w:rsidR="00C72189">
        <w:rPr>
          <w:rFonts w:eastAsia="Calibri"/>
        </w:rPr>
        <w:t xml:space="preserve">immigration policing, </w:t>
      </w:r>
      <w:r w:rsidR="0098119C">
        <w:rPr>
          <w:rFonts w:eastAsia="Calibri"/>
        </w:rPr>
        <w:t>where police take on the role of Immigration and Customs Enforcement to enforce civil and criminal violations of immigration</w:t>
      </w:r>
      <w:r w:rsidR="00C72189">
        <w:rPr>
          <w:rFonts w:eastAsia="Calibri"/>
        </w:rPr>
        <w:t>, has grown across the nation</w:t>
      </w:r>
      <w:r w:rsidR="0098119C">
        <w:rPr>
          <w:rFonts w:eastAsia="Calibri"/>
        </w:rPr>
        <w:t xml:space="preserve">.  Post 9/11, marked the </w:t>
      </w:r>
      <w:r w:rsidR="00C72189">
        <w:rPr>
          <w:rFonts w:eastAsia="Calibri"/>
        </w:rPr>
        <w:t xml:space="preserve">growth of </w:t>
      </w:r>
      <w:r w:rsidR="0098119C">
        <w:rPr>
          <w:rFonts w:eastAsia="Calibri"/>
        </w:rPr>
        <w:t xml:space="preserve">interior </w:t>
      </w:r>
      <w:r w:rsidR="003D7363">
        <w:rPr>
          <w:rFonts w:eastAsia="Calibri"/>
        </w:rPr>
        <w:t xml:space="preserve">policing of immigration </w:t>
      </w:r>
      <w:r w:rsidR="0098119C">
        <w:rPr>
          <w:rFonts w:eastAsia="Calibri"/>
        </w:rPr>
        <w:t xml:space="preserve">in </w:t>
      </w:r>
      <w:r w:rsidR="00C72189">
        <w:rPr>
          <w:rFonts w:eastAsia="Calibri"/>
        </w:rPr>
        <w:t xml:space="preserve">addition to patrolling </w:t>
      </w:r>
      <w:r w:rsidR="0098119C">
        <w:rPr>
          <w:rFonts w:eastAsia="Calibri"/>
        </w:rPr>
        <w:t>the “line” or the political boundary at the U.S.-Mexico border</w:t>
      </w:r>
      <w:r w:rsidR="003D7363">
        <w:rPr>
          <w:rFonts w:eastAsia="Calibri"/>
        </w:rPr>
        <w:t xml:space="preserve"> </w:t>
      </w:r>
      <w:r w:rsidR="0098119C">
        <w:rPr>
          <w:rFonts w:eastAsia="Calibri"/>
        </w:rPr>
        <w:t>(</w:t>
      </w:r>
      <w:r w:rsidR="0098119C" w:rsidRPr="0098119C">
        <w:t>Coleman 2007; De Genova and Peutz 2010; Ngai 2004</w:t>
      </w:r>
      <w:r w:rsidR="0098119C">
        <w:t xml:space="preserve">; </w:t>
      </w:r>
      <w:r w:rsidR="00CE1735">
        <w:t xml:space="preserve">Nguyen and Gill, 2016; </w:t>
      </w:r>
      <w:r w:rsidR="00C13F92">
        <w:t>Provine 2016</w:t>
      </w:r>
      <w:r w:rsidR="0098119C" w:rsidRPr="0098119C">
        <w:t xml:space="preserve">). </w:t>
      </w:r>
      <w:r w:rsidR="005E7C00">
        <w:t xml:space="preserve"> </w:t>
      </w:r>
      <w:r>
        <w:t>I</w:t>
      </w:r>
      <w:r w:rsidR="00C13F92">
        <w:t xml:space="preserve">mmigration enforcement </w:t>
      </w:r>
      <w:r>
        <w:t xml:space="preserve">became </w:t>
      </w:r>
      <w:r w:rsidR="00C13F92">
        <w:t>“…operationally diffuse and inward-looking power focused on</w:t>
      </w:r>
      <w:r>
        <w:t xml:space="preserve"> resident immigrant populations</w:t>
      </w:r>
      <w:r w:rsidR="00C13F92">
        <w:t xml:space="preserve">” </w:t>
      </w:r>
      <w:r>
        <w:t>(Stuesse and Coleman</w:t>
      </w:r>
      <w:r w:rsidR="00B15604">
        <w:t xml:space="preserve">, </w:t>
      </w:r>
      <w:r>
        <w:t xml:space="preserve">2014:106).  </w:t>
      </w:r>
      <w:r w:rsidR="00C72189">
        <w:t>Such measures have entailed s</w:t>
      </w:r>
      <w:r w:rsidR="005E7C00">
        <w:t xml:space="preserve">ecurity and surveillance </w:t>
      </w:r>
      <w:r w:rsidR="00C72189">
        <w:t xml:space="preserve">to </w:t>
      </w:r>
      <w:r w:rsidR="005E7C00">
        <w:t>expand from the federal government to state</w:t>
      </w:r>
      <w:r>
        <w:t xml:space="preserve">, county, </w:t>
      </w:r>
      <w:r w:rsidR="005E7C00">
        <w:t xml:space="preserve">and local </w:t>
      </w:r>
      <w:r>
        <w:t xml:space="preserve">law enforcement agencies </w:t>
      </w:r>
      <w:r w:rsidR="005E7C00">
        <w:t>(</w:t>
      </w:r>
      <w:r>
        <w:t xml:space="preserve">Provine et al., 2016; </w:t>
      </w:r>
      <w:r w:rsidR="005E7C00">
        <w:t>Salter</w:t>
      </w:r>
      <w:r w:rsidR="00EE588B">
        <w:t>,</w:t>
      </w:r>
      <w:r w:rsidR="005E7C00">
        <w:t xml:space="preserve"> 2004).  </w:t>
      </w:r>
    </w:p>
    <w:p w14:paraId="44E8B44E" w14:textId="3701CC53" w:rsidR="00FA0B5E" w:rsidRDefault="00D84A36" w:rsidP="00274031">
      <w:pPr>
        <w:spacing w:line="480" w:lineRule="auto"/>
        <w:ind w:firstLine="720"/>
      </w:pPr>
      <w:r>
        <w:t xml:space="preserve">Historically the policing of immigration was the responsibility of the federal government, but this has changed given the rise of restrictive </w:t>
      </w:r>
      <w:r w:rsidR="00A978FF">
        <w:t xml:space="preserve">immigration </w:t>
      </w:r>
      <w:r>
        <w:t xml:space="preserve">policies at the state-, county-, and local-levels (see Armenta, 2016; Chavez and Provine, 2009; Varsanyi, 2009).  </w:t>
      </w:r>
      <w:r w:rsidR="00570DC4">
        <w:t xml:space="preserve">There </w:t>
      </w:r>
      <w:r w:rsidR="00274031">
        <w:t xml:space="preserve">are </w:t>
      </w:r>
      <w:r w:rsidR="00570DC4">
        <w:t>a range of subnational actors involv</w:t>
      </w:r>
      <w:r w:rsidR="00274031">
        <w:t>ed in the detection and removal of immigrant residents who lack the legal right to remain in the U.S. Endorsing such processes are s</w:t>
      </w:r>
      <w:r w:rsidR="00570DC4">
        <w:t xml:space="preserve">everal political initiatives including </w:t>
      </w:r>
      <w:r w:rsidR="003D7363">
        <w:t>laws, city ordinances, and administrative policies</w:t>
      </w:r>
      <w:r w:rsidR="00570DC4">
        <w:t xml:space="preserve"> </w:t>
      </w:r>
      <w:r w:rsidR="003D7363">
        <w:t xml:space="preserve">at the state and local-levels.  </w:t>
      </w:r>
      <w:r w:rsidR="005E7C00">
        <w:t xml:space="preserve">Most notably is </w:t>
      </w:r>
      <w:r w:rsidR="005E7C00" w:rsidRPr="00D95EAE">
        <w:t xml:space="preserve">Arizona’s </w:t>
      </w:r>
      <w:r w:rsidR="009C3197">
        <w:t xml:space="preserve">Support of Law Enforcement and Safe Neighborhoods Act or </w:t>
      </w:r>
      <w:r w:rsidR="00E277FB" w:rsidRPr="00D95EAE">
        <w:rPr>
          <w:rFonts w:eastAsia="Calibri"/>
        </w:rPr>
        <w:t>SB1070</w:t>
      </w:r>
      <w:r w:rsidR="00D95EAE" w:rsidRPr="00D95EAE">
        <w:rPr>
          <w:rFonts w:eastAsia="Calibri"/>
        </w:rPr>
        <w:t>,</w:t>
      </w:r>
      <w:r w:rsidR="00D95EAE">
        <w:rPr>
          <w:rFonts w:eastAsia="Calibri"/>
        </w:rPr>
        <w:t xml:space="preserve"> later amended to H.B. 2162, that legalized intensified surveillance of Latina/os resulting in more arrests and detentions by state and local police (Heyman, 2010; </w:t>
      </w:r>
      <w:r w:rsidR="00D95EAE">
        <w:t>Saenz and Morales</w:t>
      </w:r>
      <w:r w:rsidR="00AF678A">
        <w:t>, 2015</w:t>
      </w:r>
      <w:r w:rsidR="00D95EAE">
        <w:t>; Saenz et al., 2011</w:t>
      </w:r>
      <w:r w:rsidR="00D95EAE" w:rsidRPr="00722745">
        <w:t>)</w:t>
      </w:r>
      <w:r w:rsidR="00D95EAE">
        <w:t xml:space="preserve">.  </w:t>
      </w:r>
      <w:r w:rsidR="00C72189">
        <w:rPr>
          <w:rFonts w:eastAsia="Calibri"/>
        </w:rPr>
        <w:t>L</w:t>
      </w:r>
      <w:r w:rsidR="001329DD">
        <w:rPr>
          <w:rFonts w:eastAsia="Calibri"/>
        </w:rPr>
        <w:t xml:space="preserve">ocal </w:t>
      </w:r>
      <w:r w:rsidR="00EE588B">
        <w:rPr>
          <w:rFonts w:eastAsia="Calibri"/>
        </w:rPr>
        <w:t xml:space="preserve">and county </w:t>
      </w:r>
      <w:r w:rsidR="001329DD">
        <w:rPr>
          <w:rFonts w:eastAsia="Calibri"/>
        </w:rPr>
        <w:t>governments are also increasing</w:t>
      </w:r>
      <w:r w:rsidR="005759DC">
        <w:rPr>
          <w:rFonts w:eastAsia="Calibri"/>
        </w:rPr>
        <w:t>ly</w:t>
      </w:r>
      <w:r w:rsidR="001329DD">
        <w:rPr>
          <w:rFonts w:eastAsia="Calibri"/>
        </w:rPr>
        <w:t xml:space="preserve"> involved in </w:t>
      </w:r>
      <w:r w:rsidR="00C72189">
        <w:rPr>
          <w:rFonts w:eastAsia="Calibri"/>
        </w:rPr>
        <w:t>immigration policing</w:t>
      </w:r>
      <w:r w:rsidR="00B315C4">
        <w:rPr>
          <w:rFonts w:eastAsia="Calibri"/>
        </w:rPr>
        <w:t>, although most of these efforts are in new migrant destinations and/or those with an increasing Latina/o population (</w:t>
      </w:r>
      <w:r w:rsidR="00B315C4" w:rsidRPr="00450DD2">
        <w:rPr>
          <w:rFonts w:eastAsia="Calibri"/>
        </w:rPr>
        <w:t xml:space="preserve">Armenta, </w:t>
      </w:r>
      <w:r w:rsidR="00B315C4">
        <w:rPr>
          <w:rFonts w:eastAsia="Calibri"/>
        </w:rPr>
        <w:t xml:space="preserve">2016; </w:t>
      </w:r>
      <w:r w:rsidR="00B315C4" w:rsidRPr="00AE1283">
        <w:rPr>
          <w:rFonts w:eastAsia="Calibri"/>
        </w:rPr>
        <w:t xml:space="preserve">Sáenz, 2010; </w:t>
      </w:r>
      <w:r w:rsidR="00B315C4">
        <w:t>Shahani and Greene 2009</w:t>
      </w:r>
      <w:r w:rsidR="00C72189">
        <w:rPr>
          <w:rFonts w:eastAsia="Calibri"/>
        </w:rPr>
        <w:t xml:space="preserve">.  </w:t>
      </w:r>
      <w:r w:rsidR="00EE588B">
        <w:rPr>
          <w:rFonts w:eastAsia="Calibri"/>
        </w:rPr>
        <w:t xml:space="preserve">Eagly </w:t>
      </w:r>
      <w:r w:rsidR="00EE588B">
        <w:rPr>
          <w:rFonts w:eastAsia="Calibri"/>
        </w:rPr>
        <w:lastRenderedPageBreak/>
        <w:t>(2013)</w:t>
      </w:r>
      <w:r w:rsidR="00A978FF">
        <w:rPr>
          <w:rFonts w:eastAsia="Calibri"/>
        </w:rPr>
        <w:t>, for example,</w:t>
      </w:r>
      <w:r w:rsidR="00EE588B">
        <w:rPr>
          <w:rFonts w:eastAsia="Calibri"/>
        </w:rPr>
        <w:t xml:space="preserve"> described Maricopa County (Phoenix, AZ) as illustrative of an “illegal alien punishment” model that makes immigration enforcement central to local policing.  </w:t>
      </w:r>
      <w:r w:rsidR="001329DD" w:rsidRPr="005E7C00">
        <w:rPr>
          <w:rFonts w:eastAsia="Calibri"/>
        </w:rPr>
        <w:t>Hazelton, Pennsylvania</w:t>
      </w:r>
      <w:r w:rsidR="00EE588B">
        <w:rPr>
          <w:rFonts w:eastAsia="Calibri"/>
        </w:rPr>
        <w:t xml:space="preserve"> </w:t>
      </w:r>
      <w:r w:rsidR="001329DD" w:rsidRPr="005E7C00">
        <w:rPr>
          <w:rFonts w:eastAsia="Calibri"/>
        </w:rPr>
        <w:t xml:space="preserve">passed the Illegal Immigration Relief Act (IIRA) in 2006 </w:t>
      </w:r>
      <w:r w:rsidR="00C72189">
        <w:rPr>
          <w:rFonts w:eastAsia="Calibri"/>
        </w:rPr>
        <w:t xml:space="preserve">that relied </w:t>
      </w:r>
      <w:r w:rsidR="005E7C00" w:rsidRPr="005E7C00">
        <w:rPr>
          <w:rFonts w:eastAsia="Calibri"/>
        </w:rPr>
        <w:t xml:space="preserve">heavily </w:t>
      </w:r>
      <w:r w:rsidR="001329DD" w:rsidRPr="005E7C00">
        <w:rPr>
          <w:rFonts w:eastAsia="Calibri"/>
        </w:rPr>
        <w:t xml:space="preserve">on racialized rhetoric of the war on crime </w:t>
      </w:r>
      <w:r w:rsidR="00C72189">
        <w:rPr>
          <w:rFonts w:eastAsia="Calibri"/>
        </w:rPr>
        <w:t xml:space="preserve">that </w:t>
      </w:r>
      <w:r w:rsidR="001329DD" w:rsidRPr="005E7C00">
        <w:rPr>
          <w:rFonts w:eastAsia="Calibri"/>
        </w:rPr>
        <w:t>socially construct</w:t>
      </w:r>
      <w:r w:rsidR="00C72189">
        <w:rPr>
          <w:rFonts w:eastAsia="Calibri"/>
        </w:rPr>
        <w:t>ed</w:t>
      </w:r>
      <w:r w:rsidR="001329DD" w:rsidRPr="005E7C00">
        <w:rPr>
          <w:rFonts w:eastAsia="Calibri"/>
        </w:rPr>
        <w:t xml:space="preserve"> Latin</w:t>
      </w:r>
      <w:r w:rsidR="00C72189">
        <w:rPr>
          <w:rFonts w:eastAsia="Calibri"/>
        </w:rPr>
        <w:t>a/</w:t>
      </w:r>
      <w:r w:rsidR="001329DD" w:rsidRPr="005E7C00">
        <w:rPr>
          <w:rFonts w:eastAsia="Calibri"/>
        </w:rPr>
        <w:t xml:space="preserve">os as “illegal” and “unlawful” </w:t>
      </w:r>
      <w:r w:rsidR="00A1529C">
        <w:rPr>
          <w:rFonts w:eastAsia="Calibri"/>
        </w:rPr>
        <w:t xml:space="preserve">further marginalizing </w:t>
      </w:r>
      <w:r w:rsidR="001329DD" w:rsidRPr="005E7C00">
        <w:rPr>
          <w:rFonts w:eastAsia="Calibri"/>
        </w:rPr>
        <w:t>immigrant communities</w:t>
      </w:r>
      <w:r w:rsidR="00C72189">
        <w:rPr>
          <w:rFonts w:eastAsia="Calibri"/>
        </w:rPr>
        <w:t xml:space="preserve"> (</w:t>
      </w:r>
      <w:r w:rsidR="00C72189" w:rsidRPr="005E7C00">
        <w:rPr>
          <w:rFonts w:eastAsia="Calibri"/>
        </w:rPr>
        <w:t>Longazel</w:t>
      </w:r>
      <w:r w:rsidR="00C72189">
        <w:rPr>
          <w:rFonts w:eastAsia="Calibri"/>
        </w:rPr>
        <w:t xml:space="preserve">, </w:t>
      </w:r>
      <w:r w:rsidR="00C72189" w:rsidRPr="005E7C00">
        <w:rPr>
          <w:rFonts w:eastAsia="Calibri"/>
        </w:rPr>
        <w:t>2013)</w:t>
      </w:r>
      <w:r w:rsidR="001329DD" w:rsidRPr="005E7C00">
        <w:rPr>
          <w:rFonts w:eastAsia="Calibri"/>
        </w:rPr>
        <w:t xml:space="preserve">.  </w:t>
      </w:r>
      <w:r w:rsidR="00C72189">
        <w:rPr>
          <w:rFonts w:eastAsia="Calibri"/>
        </w:rPr>
        <w:t>The surveillance of immigration has also expanded</w:t>
      </w:r>
      <w:r w:rsidR="005A6B11">
        <w:rPr>
          <w:rFonts w:eastAsia="Calibri"/>
        </w:rPr>
        <w:t xml:space="preserve"> under the</w:t>
      </w:r>
      <w:r w:rsidR="004448A8">
        <w:rPr>
          <w:rFonts w:eastAsia="Calibri"/>
        </w:rPr>
        <w:t xml:space="preserve"> 1996</w:t>
      </w:r>
      <w:r w:rsidR="005A6B11">
        <w:rPr>
          <w:rFonts w:eastAsia="Calibri"/>
        </w:rPr>
        <w:t xml:space="preserve"> Illegal Immigration Reform and Immigrant Responsibility Act </w:t>
      </w:r>
      <w:r w:rsidR="00A1529C">
        <w:rPr>
          <w:rFonts w:eastAsia="Calibri"/>
        </w:rPr>
        <w:t xml:space="preserve">via the </w:t>
      </w:r>
      <w:r w:rsidR="005A6B11">
        <w:rPr>
          <w:rFonts w:eastAsia="Calibri"/>
        </w:rPr>
        <w:t>expan</w:t>
      </w:r>
      <w:r w:rsidR="00A1529C">
        <w:rPr>
          <w:rFonts w:eastAsia="Calibri"/>
        </w:rPr>
        <w:t xml:space="preserve">sion </w:t>
      </w:r>
      <w:r w:rsidR="005A6B11">
        <w:rPr>
          <w:rFonts w:eastAsia="Calibri"/>
        </w:rPr>
        <w:t xml:space="preserve">of state and local police </w:t>
      </w:r>
      <w:r w:rsidR="00A1529C">
        <w:rPr>
          <w:rFonts w:eastAsia="Calibri"/>
        </w:rPr>
        <w:t xml:space="preserve">functions under </w:t>
      </w:r>
      <w:r w:rsidR="005A6B11" w:rsidRPr="00A1529C">
        <w:rPr>
          <w:rFonts w:eastAsia="Calibri"/>
        </w:rPr>
        <w:t>287(g)</w:t>
      </w:r>
      <w:r w:rsidR="005A6B11">
        <w:rPr>
          <w:rFonts w:eastAsia="Calibri"/>
        </w:rPr>
        <w:t xml:space="preserve"> policies where state and local law enforcement agencies </w:t>
      </w:r>
      <w:r w:rsidR="00937A1D">
        <w:rPr>
          <w:rFonts w:eastAsia="Calibri"/>
        </w:rPr>
        <w:t>enter agreements</w:t>
      </w:r>
      <w:r w:rsidR="005A6B11">
        <w:rPr>
          <w:rFonts w:eastAsia="Calibri"/>
        </w:rPr>
        <w:t xml:space="preserve"> with </w:t>
      </w:r>
      <w:r w:rsidR="00937A1D">
        <w:rPr>
          <w:rFonts w:eastAsia="Calibri"/>
        </w:rPr>
        <w:t xml:space="preserve">the </w:t>
      </w:r>
      <w:r w:rsidR="005A6B11">
        <w:rPr>
          <w:rFonts w:eastAsia="Calibri"/>
        </w:rPr>
        <w:t>Attorney General to perform immigration law enforcement functions (</w:t>
      </w:r>
      <w:r w:rsidR="005A6B11" w:rsidRPr="00AF678A">
        <w:rPr>
          <w:rFonts w:eastAsia="Calibri"/>
        </w:rPr>
        <w:t>see Armenta</w:t>
      </w:r>
      <w:r w:rsidR="00AF678A">
        <w:rPr>
          <w:rFonts w:eastAsia="Calibri"/>
        </w:rPr>
        <w:t>, 2012</w:t>
      </w:r>
      <w:r w:rsidR="003D7363">
        <w:rPr>
          <w:rFonts w:eastAsia="Calibri"/>
        </w:rPr>
        <w:t xml:space="preserve">; </w:t>
      </w:r>
      <w:r w:rsidR="003D7363" w:rsidRPr="003D7363">
        <w:rPr>
          <w:rFonts w:eastAsia="Calibri"/>
        </w:rPr>
        <w:t>Provine et al. 2016</w:t>
      </w:r>
      <w:r w:rsidR="005A6B11" w:rsidRPr="003D7363">
        <w:rPr>
          <w:rFonts w:eastAsia="Calibri"/>
        </w:rPr>
        <w:t>)</w:t>
      </w:r>
      <w:r w:rsidR="005A6B11">
        <w:rPr>
          <w:rFonts w:eastAsia="Calibri"/>
        </w:rPr>
        <w:t xml:space="preserve">.  Similarly, </w:t>
      </w:r>
      <w:r w:rsidR="005A6B11" w:rsidRPr="00FA0B5E">
        <w:rPr>
          <w:rFonts w:eastAsia="Calibri"/>
        </w:rPr>
        <w:t>Se</w:t>
      </w:r>
      <w:r w:rsidR="00C72189" w:rsidRPr="00FA0B5E">
        <w:rPr>
          <w:rFonts w:eastAsia="Calibri"/>
        </w:rPr>
        <w:t>cure Communities</w:t>
      </w:r>
      <w:r w:rsidR="003D7363">
        <w:rPr>
          <w:rFonts w:eastAsia="Calibri"/>
        </w:rPr>
        <w:t xml:space="preserve"> </w:t>
      </w:r>
      <w:r w:rsidR="005A6B11">
        <w:rPr>
          <w:rFonts w:eastAsia="Calibri"/>
        </w:rPr>
        <w:t xml:space="preserve">is an administrative initiative facilitating </w:t>
      </w:r>
      <w:r w:rsidR="00C72189">
        <w:rPr>
          <w:rFonts w:eastAsia="Calibri"/>
        </w:rPr>
        <w:t xml:space="preserve">local- and state-level law enforcement </w:t>
      </w:r>
      <w:r w:rsidR="003D7363">
        <w:rPr>
          <w:rFonts w:eastAsia="Calibri"/>
        </w:rPr>
        <w:t>to partner</w:t>
      </w:r>
      <w:r w:rsidR="00C72189">
        <w:rPr>
          <w:rFonts w:eastAsia="Calibri"/>
        </w:rPr>
        <w:t xml:space="preserve"> up with the U.S. Immigration and Customs Enforcement (ICE) and the Federal Bureau of Investigations (FBI) for immigration policing</w:t>
      </w:r>
      <w:r w:rsidR="006E21A8">
        <w:rPr>
          <w:rFonts w:eastAsia="Calibri"/>
        </w:rPr>
        <w:t>, typically applied at the time of booking into jail or prison after arrest, but before trial or conviction</w:t>
      </w:r>
      <w:r w:rsidR="005A6B11">
        <w:rPr>
          <w:rFonts w:eastAsia="Calibri"/>
        </w:rPr>
        <w:t xml:space="preserve">.  </w:t>
      </w:r>
      <w:r w:rsidR="001329DD" w:rsidRPr="00C72189">
        <w:t xml:space="preserve">Secure Communities </w:t>
      </w:r>
      <w:r w:rsidR="00A1529C">
        <w:t xml:space="preserve">allowed for </w:t>
      </w:r>
      <w:r w:rsidR="00C72189">
        <w:t xml:space="preserve">local and state law enforcement officers </w:t>
      </w:r>
      <w:r w:rsidR="00A1529C">
        <w:t xml:space="preserve">to automatically </w:t>
      </w:r>
      <w:r w:rsidR="005759DC">
        <w:t xml:space="preserve">send </w:t>
      </w:r>
      <w:r w:rsidR="00C72189">
        <w:t xml:space="preserve">fingerprints to the </w:t>
      </w:r>
      <w:r w:rsidR="001329DD" w:rsidRPr="00C72189">
        <w:t xml:space="preserve">FBI </w:t>
      </w:r>
      <w:r w:rsidR="00C72189" w:rsidRPr="00C72189">
        <w:t xml:space="preserve">and </w:t>
      </w:r>
      <w:r w:rsidR="001329DD" w:rsidRPr="00C72189">
        <w:t xml:space="preserve">Department of Homeland Security (DHS) to check against its immigration databases. </w:t>
      </w:r>
      <w:r w:rsidR="00C72189">
        <w:rPr>
          <w:color w:val="0070C0"/>
        </w:rPr>
        <w:t xml:space="preserve"> </w:t>
      </w:r>
      <w:r w:rsidR="001329DD" w:rsidRPr="00A1529C">
        <w:t>If these checks reveal that an individual is unlawfully present in the U.S., ICE takes enforcement action</w:t>
      </w:r>
      <w:r w:rsidR="00A1529C" w:rsidRPr="00A1529C">
        <w:t xml:space="preserve"> and </w:t>
      </w:r>
      <w:r w:rsidR="001329DD" w:rsidRPr="00A1529C">
        <w:t>the removal of individuals who present threats to public safety</w:t>
      </w:r>
      <w:r w:rsidR="00A1529C" w:rsidRPr="00A1529C">
        <w:t xml:space="preserve">.  </w:t>
      </w:r>
      <w:r w:rsidR="00FA0B5E">
        <w:t>Secure Communities ended in November 2014 and replaced with Priority Enforcement Program (PEP).  Both programs share similar objectives to utilize state and local criminal police and courts for civil immigration enforcement, but differ in that ICE no longer request</w:t>
      </w:r>
      <w:r w:rsidR="00767CAB">
        <w:t>s</w:t>
      </w:r>
      <w:r w:rsidR="00FA0B5E">
        <w:t xml:space="preserve"> that local law enforcement detain a migrant unless he/she has been convicted or is considered a national security threat (García and Hernández, 2015). </w:t>
      </w:r>
      <w:r w:rsidR="00A978FF">
        <w:t xml:space="preserve">The unprecedented convergence of criminal and immigration law </w:t>
      </w:r>
      <w:r w:rsidR="00A978FF">
        <w:lastRenderedPageBreak/>
        <w:t>at the levels of statute, policy, and implementation has been referred to as “crimmigration” (Stumpf, 2006).</w:t>
      </w:r>
    </w:p>
    <w:p w14:paraId="2CC79F5C" w14:textId="12A8128B" w:rsidR="009149F3" w:rsidRDefault="009149F3" w:rsidP="005E7C00">
      <w:pPr>
        <w:spacing w:line="480" w:lineRule="auto"/>
        <w:ind w:firstLine="720"/>
        <w:rPr>
          <w:rFonts w:eastAsia="Calibri"/>
        </w:rPr>
      </w:pPr>
      <w:r>
        <w:rPr>
          <w:rFonts w:eastAsia="Calibri"/>
        </w:rPr>
        <w:t>This large</w:t>
      </w:r>
      <w:r>
        <w:t xml:space="preserve">-scale restructuring marked by a shift from national to local immigration policy </w:t>
      </w:r>
      <w:r w:rsidR="00B07F42">
        <w:t xml:space="preserve">gave rise to a </w:t>
      </w:r>
      <w:r>
        <w:t xml:space="preserve">new regime in immigration enforcement </w:t>
      </w:r>
      <w:r w:rsidR="00B07F42">
        <w:t xml:space="preserve">that </w:t>
      </w:r>
      <w:r>
        <w:t xml:space="preserve">makes the distinction between citizens and noncitizens more important than before (Coutin, 2011).  </w:t>
      </w:r>
    </w:p>
    <w:p w14:paraId="24F8BB57" w14:textId="6C480938" w:rsidR="003D7363" w:rsidRPr="00570DC4" w:rsidRDefault="00307991" w:rsidP="005E7C00">
      <w:pPr>
        <w:spacing w:line="480" w:lineRule="auto"/>
        <w:ind w:firstLine="720"/>
      </w:pPr>
      <w:r>
        <w:t xml:space="preserve">The programs, such as the ones mentioned above, were implemented with no safeguards against racial profiling and pretextual stops targeted at those suspected of being undocumented (Provine et al. 2016).  </w:t>
      </w:r>
      <w:r w:rsidR="00AC4FAF">
        <w:t xml:space="preserve">Policy reports on Secure Communities highlighted racial profiling and a disproportionate number of Latina/os arrested, detained, and placed in detention (Provine et al., 2016).  Secure Communities failed to reach its intended goals where over half of those detained had no prior arrests or only minor infractions (Provine et al., 2016).  Advocacy organizations along the U.S.-Mexico border argued that the policing in the name of national security is not consistent </w:t>
      </w:r>
      <w:r w:rsidR="00AC4FAF" w:rsidRPr="00570DC4">
        <w:t xml:space="preserve">with “community security” given that </w:t>
      </w:r>
      <w:r w:rsidR="00AC4FAF">
        <w:t xml:space="preserve">increased surveillance </w:t>
      </w:r>
      <w:r w:rsidR="00AC4FAF" w:rsidRPr="00570DC4">
        <w:t xml:space="preserve">contributes to the marginalization of the border region and </w:t>
      </w:r>
      <w:r w:rsidR="00AC4FAF">
        <w:t xml:space="preserve">the criminalization of </w:t>
      </w:r>
      <w:r w:rsidR="00AC4FAF" w:rsidRPr="00570DC4">
        <w:t>its large</w:t>
      </w:r>
      <w:r w:rsidR="00AC4FAF">
        <w:t>ly</w:t>
      </w:r>
      <w:r w:rsidR="00AC4FAF" w:rsidRPr="00570DC4">
        <w:t xml:space="preserve"> Latina/o communities </w:t>
      </w:r>
      <w:r w:rsidR="00AC4FAF">
        <w:t>(Saenz and Morales, 2015)</w:t>
      </w:r>
      <w:r w:rsidR="00AC4FAF" w:rsidRPr="00570DC4">
        <w:t>.</w:t>
      </w:r>
      <w:r w:rsidR="00AC4FAF">
        <w:t xml:space="preserve">  Furthermore, s</w:t>
      </w:r>
      <w:r w:rsidR="003D7363" w:rsidRPr="003D7363">
        <w:t xml:space="preserve">ome of these </w:t>
      </w:r>
      <w:r w:rsidR="00377C9F">
        <w:t xml:space="preserve">policy </w:t>
      </w:r>
      <w:r w:rsidR="003D7363" w:rsidRPr="003D7363">
        <w:t xml:space="preserve">initiatives have been proven ineffective and/or a violation of civil rights.   </w:t>
      </w:r>
      <w:r w:rsidR="00ED46E9">
        <w:t xml:space="preserve">In </w:t>
      </w:r>
      <w:r w:rsidR="00ED46E9" w:rsidRPr="00ED46E9">
        <w:rPr>
          <w:i/>
        </w:rPr>
        <w:t>Arizona v. United States</w:t>
      </w:r>
      <w:r w:rsidR="00ED46E9">
        <w:t xml:space="preserve"> the federal government </w:t>
      </w:r>
      <w:r w:rsidR="00377C9F">
        <w:t xml:space="preserve">blocked some of the provisions behind </w:t>
      </w:r>
      <w:r w:rsidR="003D7363">
        <w:t xml:space="preserve">SB1070 </w:t>
      </w:r>
      <w:r w:rsidR="00EE588B">
        <w:t xml:space="preserve">in 2012 </w:t>
      </w:r>
      <w:r w:rsidR="00377C9F">
        <w:t xml:space="preserve">and other similar state laws in Alabama, Georgia, Indiana, among others </w:t>
      </w:r>
      <w:r w:rsidR="00377C9F" w:rsidRPr="00B15604">
        <w:t>(</w:t>
      </w:r>
      <w:r w:rsidR="003D7363" w:rsidRPr="00B15604">
        <w:t>Provine</w:t>
      </w:r>
      <w:r w:rsidR="00377C9F">
        <w:t xml:space="preserve"> et al., 2016).  </w:t>
      </w:r>
      <w:r w:rsidR="003D7363">
        <w:t>287(g)</w:t>
      </w:r>
      <w:r w:rsidR="00101FD0">
        <w:t xml:space="preserve">has resulted in increased fear and distrust against law enforcement among immigrants, which compromised police-community relations (Nygun and Gill, 2016).  Currently, 287(g) is being </w:t>
      </w:r>
      <w:r w:rsidR="00A5340B">
        <w:t xml:space="preserve">phased out </w:t>
      </w:r>
      <w:r w:rsidR="00417885">
        <w:t xml:space="preserve">given </w:t>
      </w:r>
      <w:r w:rsidR="00EE588B">
        <w:t xml:space="preserve">it is </w:t>
      </w:r>
      <w:r w:rsidR="00417885">
        <w:t xml:space="preserve">costly and inefficient </w:t>
      </w:r>
      <w:r w:rsidR="00A5340B">
        <w:t>(Provine et al., 2016)</w:t>
      </w:r>
      <w:r w:rsidR="00D17D80">
        <w:t>, although it is uncertain whether it will return under the Donald Trump Presidency</w:t>
      </w:r>
      <w:r w:rsidR="00A5340B">
        <w:t xml:space="preserve">.  </w:t>
      </w:r>
    </w:p>
    <w:p w14:paraId="7537C5DB" w14:textId="52724DF4" w:rsidR="00775AB8" w:rsidRDefault="00A1529C" w:rsidP="00A85298">
      <w:pPr>
        <w:spacing w:line="480" w:lineRule="auto"/>
        <w:ind w:firstLine="720"/>
        <w:rPr>
          <w:rFonts w:eastAsia="Calibri"/>
        </w:rPr>
      </w:pPr>
      <w:r>
        <w:rPr>
          <w:rFonts w:eastAsia="Calibri"/>
        </w:rPr>
        <w:lastRenderedPageBreak/>
        <w:t>Even in locations where state, county, or local law enforcement do not have agreements with the federal government to participate in immigration enforcement, local law enforcement have daily encounters with immigrants.  Scholars have argued that the growth in immigration policing at the local level is a response to rapid increase in the growth of immigrant populations and/or the browning of the population (</w:t>
      </w:r>
      <w:r w:rsidRPr="00450DD2">
        <w:rPr>
          <w:rFonts w:eastAsia="Calibri"/>
        </w:rPr>
        <w:t xml:space="preserve">Armenta, </w:t>
      </w:r>
      <w:r w:rsidR="00450DD2">
        <w:rPr>
          <w:rFonts w:eastAsia="Calibri"/>
        </w:rPr>
        <w:t xml:space="preserve">2016; </w:t>
      </w:r>
      <w:r w:rsidRPr="00AE1283">
        <w:rPr>
          <w:rFonts w:eastAsia="Calibri"/>
        </w:rPr>
        <w:t xml:space="preserve">Sáenz, 2010; </w:t>
      </w:r>
      <w:r>
        <w:t>Shahani and Greene 2009</w:t>
      </w:r>
      <w:r>
        <w:rPr>
          <w:rFonts w:eastAsia="Calibri"/>
        </w:rPr>
        <w:t>)</w:t>
      </w:r>
      <w:r w:rsidR="00775AB8">
        <w:rPr>
          <w:rFonts w:eastAsia="Calibri"/>
        </w:rPr>
        <w:t xml:space="preserve">.  Yet, the “browning” and immigrant growth across the U.S. (Saenz and Morales, 2015) suggests that even states, counties, and local law enforcement departments without agreements with federal government to police immigration law enforcement </w:t>
      </w:r>
      <w:r w:rsidRPr="00312501">
        <w:rPr>
          <w:rFonts w:eastAsia="Calibri"/>
        </w:rPr>
        <w:t xml:space="preserve">are interacting more than ever with </w:t>
      </w:r>
      <w:r w:rsidR="00775AB8">
        <w:rPr>
          <w:rFonts w:eastAsia="Calibri"/>
        </w:rPr>
        <w:t xml:space="preserve">immigrants.  </w:t>
      </w:r>
      <w:r>
        <w:rPr>
          <w:rFonts w:eastAsia="Calibri"/>
        </w:rPr>
        <w:t xml:space="preserve">  </w:t>
      </w:r>
    </w:p>
    <w:p w14:paraId="2FEFD15D" w14:textId="15532F4E" w:rsidR="00765DB5" w:rsidRDefault="006E2F95" w:rsidP="00BA603B">
      <w:pPr>
        <w:spacing w:after="200" w:line="480" w:lineRule="auto"/>
        <w:ind w:firstLine="720"/>
        <w:rPr>
          <w:rFonts w:eastAsia="Calibri"/>
        </w:rPr>
      </w:pPr>
      <w:r>
        <w:rPr>
          <w:rFonts w:eastAsia="Calibri"/>
        </w:rPr>
        <w:t>With the expansion of policing of immigration</w:t>
      </w:r>
      <w:r w:rsidR="00876459">
        <w:rPr>
          <w:rFonts w:eastAsia="Calibri"/>
        </w:rPr>
        <w:t>,</w:t>
      </w:r>
      <w:r>
        <w:rPr>
          <w:rFonts w:eastAsia="Calibri"/>
        </w:rPr>
        <w:t xml:space="preserve"> citizenship profiling has been an issue of increasing concern, yet we do not know much about who is profiled as an undocumented immigrant.  </w:t>
      </w:r>
      <w:r w:rsidR="00EE588B">
        <w:rPr>
          <w:rFonts w:eastAsia="Calibri"/>
        </w:rPr>
        <w:t xml:space="preserve">Most of the studies on </w:t>
      </w:r>
      <w:r w:rsidR="009600D1">
        <w:rPr>
          <w:rFonts w:eastAsia="Calibri"/>
        </w:rPr>
        <w:t xml:space="preserve">the policing of </w:t>
      </w:r>
      <w:r w:rsidR="00EE588B">
        <w:rPr>
          <w:rFonts w:eastAsia="Calibri"/>
        </w:rPr>
        <w:t xml:space="preserve">immigration </w:t>
      </w:r>
      <w:r w:rsidR="009600D1">
        <w:rPr>
          <w:rFonts w:eastAsia="Calibri"/>
        </w:rPr>
        <w:t xml:space="preserve">have analyzed </w:t>
      </w:r>
      <w:r w:rsidR="00B26A03">
        <w:rPr>
          <w:rFonts w:eastAsia="Calibri"/>
        </w:rPr>
        <w:t>policies</w:t>
      </w:r>
      <w:r w:rsidR="009600D1">
        <w:rPr>
          <w:rFonts w:eastAsia="Calibri"/>
        </w:rPr>
        <w:t xml:space="preserve"> such as 287(g), Secure Communities, PEP, and SB1070 and/or have used </w:t>
      </w:r>
      <w:r w:rsidR="00EE588B">
        <w:rPr>
          <w:rFonts w:eastAsia="Calibri"/>
        </w:rPr>
        <w:t xml:space="preserve">a range of qualitative tools to examine police discretion </w:t>
      </w:r>
      <w:r w:rsidR="00A34C15" w:rsidRPr="00CE1735">
        <w:rPr>
          <w:rFonts w:eastAsia="Calibri"/>
        </w:rPr>
        <w:t>(</w:t>
      </w:r>
      <w:r w:rsidR="00A34C15">
        <w:rPr>
          <w:rFonts w:eastAsia="Calibri"/>
        </w:rPr>
        <w:t xml:space="preserve">e.g., Armenta, 2016; </w:t>
      </w:r>
      <w:r w:rsidR="00A34C15" w:rsidRPr="00CE1735">
        <w:rPr>
          <w:rFonts w:eastAsia="Calibri"/>
        </w:rPr>
        <w:t>Golash-Boza, 2015; Motomura</w:t>
      </w:r>
      <w:r w:rsidR="00A34C15">
        <w:rPr>
          <w:rFonts w:eastAsia="Calibri"/>
        </w:rPr>
        <w:t>,</w:t>
      </w:r>
      <w:r w:rsidR="00A34C15" w:rsidRPr="00CE1735">
        <w:rPr>
          <w:rFonts w:eastAsia="Calibri"/>
        </w:rPr>
        <w:t xml:space="preserve"> 2011</w:t>
      </w:r>
      <w:r w:rsidR="00554CC8">
        <w:rPr>
          <w:rFonts w:eastAsia="Calibri"/>
        </w:rPr>
        <w:t xml:space="preserve">; </w:t>
      </w:r>
      <w:r w:rsidR="00554CC8">
        <w:t>Provine et al., 2016</w:t>
      </w:r>
      <w:r w:rsidR="00A34C15" w:rsidRPr="00CE1735">
        <w:rPr>
          <w:rFonts w:eastAsia="Calibri"/>
        </w:rPr>
        <w:t>)</w:t>
      </w:r>
      <w:r w:rsidR="00A34C15">
        <w:rPr>
          <w:rFonts w:eastAsia="Calibri"/>
        </w:rPr>
        <w:t xml:space="preserve">.  </w:t>
      </w:r>
      <w:r w:rsidR="00876459">
        <w:rPr>
          <w:rFonts w:eastAsia="Calibri"/>
        </w:rPr>
        <w:t xml:space="preserve">So far, these studies on immigration policing have raised concerns about how state, county, and local policies can disproportionately impact </w:t>
      </w:r>
      <w:r w:rsidR="00876459" w:rsidRPr="00876459">
        <w:rPr>
          <w:rFonts w:eastAsia="Calibri"/>
          <w:i/>
        </w:rPr>
        <w:t>individual</w:t>
      </w:r>
      <w:r w:rsidR="00876459">
        <w:rPr>
          <w:rFonts w:eastAsia="Calibri"/>
        </w:rPr>
        <w:t xml:space="preserve"> Latina/os, regardless of citizenship status but have focused on the removal and detention of undocumented immigrants</w:t>
      </w:r>
      <w:r w:rsidR="00765DB5">
        <w:rPr>
          <w:rFonts w:eastAsia="Calibri"/>
        </w:rPr>
        <w:t xml:space="preserve">.  </w:t>
      </w:r>
      <w:r w:rsidR="00876459">
        <w:rPr>
          <w:rFonts w:eastAsia="Calibri"/>
        </w:rPr>
        <w:t xml:space="preserve">We built upon this research by providing a statistical profile of who law enforcement suspects of being undocumented </w:t>
      </w:r>
      <w:r w:rsidR="002957CF">
        <w:rPr>
          <w:rFonts w:eastAsia="Calibri"/>
        </w:rPr>
        <w:t xml:space="preserve">on the basis of </w:t>
      </w:r>
      <w:r w:rsidR="002957CF" w:rsidRPr="002957CF">
        <w:rPr>
          <w:rFonts w:eastAsia="Calibri"/>
          <w:i/>
        </w:rPr>
        <w:t>individual-level</w:t>
      </w:r>
      <w:r w:rsidR="002957CF">
        <w:rPr>
          <w:rFonts w:eastAsia="Calibri"/>
        </w:rPr>
        <w:t xml:space="preserve"> factors (generational status, Latina/o ethnicity, sex, and age) and consider how contextual factors at the </w:t>
      </w:r>
      <w:r w:rsidR="002957CF">
        <w:rPr>
          <w:rFonts w:eastAsia="Calibri"/>
          <w:i/>
        </w:rPr>
        <w:t>group</w:t>
      </w:r>
      <w:r w:rsidR="002957CF" w:rsidRPr="002957CF">
        <w:rPr>
          <w:rFonts w:eastAsia="Calibri"/>
          <w:i/>
        </w:rPr>
        <w:t>-level</w:t>
      </w:r>
      <w:r w:rsidR="002957CF">
        <w:rPr>
          <w:rFonts w:eastAsia="Calibri"/>
        </w:rPr>
        <w:t xml:space="preserve"> (residing in poverty and ethnic enclave neighborhoods) might affect who law enforcement questions about citizenship.  </w:t>
      </w:r>
    </w:p>
    <w:p w14:paraId="73DF74E6" w14:textId="1866BBF2" w:rsidR="00927CD1" w:rsidRDefault="00765DB5" w:rsidP="00BA603B">
      <w:pPr>
        <w:spacing w:after="200" w:line="480" w:lineRule="auto"/>
        <w:ind w:firstLine="720"/>
        <w:rPr>
          <w:rFonts w:eastAsia="Calibri"/>
        </w:rPr>
      </w:pPr>
      <w:r>
        <w:rPr>
          <w:rFonts w:eastAsia="Calibri"/>
        </w:rPr>
        <w:lastRenderedPageBreak/>
        <w:t xml:space="preserve">We base this study on </w:t>
      </w:r>
      <w:r w:rsidR="003D561A">
        <w:rPr>
          <w:rFonts w:eastAsia="Calibri"/>
        </w:rPr>
        <w:t xml:space="preserve">primary research consisting of </w:t>
      </w:r>
      <w:r w:rsidR="009D155E">
        <w:rPr>
          <w:rFonts w:eastAsia="Calibri"/>
        </w:rPr>
        <w:t>677 surv</w:t>
      </w:r>
      <w:r w:rsidR="00182F23">
        <w:rPr>
          <w:rFonts w:eastAsia="Calibri"/>
        </w:rPr>
        <w:t>eys collected in 2014 in El Paso, Texas, a city along the U.S.-</w:t>
      </w:r>
      <w:r w:rsidR="00182F23" w:rsidRPr="00182F23">
        <w:rPr>
          <w:rFonts w:eastAsia="Calibri"/>
        </w:rPr>
        <w:t xml:space="preserve"> </w:t>
      </w:r>
      <w:r w:rsidR="00182F23">
        <w:rPr>
          <w:rFonts w:eastAsia="Calibri"/>
        </w:rPr>
        <w:t xml:space="preserve">México border neighboring Cuidad Juárez, Chihuahua, México.  </w:t>
      </w:r>
      <w:r w:rsidR="008450EF">
        <w:rPr>
          <w:rFonts w:eastAsia="Calibri"/>
        </w:rPr>
        <w:t xml:space="preserve">The question of who is profiled as undocumented is particularly </w:t>
      </w:r>
      <w:r w:rsidR="002E25F4">
        <w:rPr>
          <w:rFonts w:eastAsia="Calibri"/>
        </w:rPr>
        <w:t xml:space="preserve">pertinent </w:t>
      </w:r>
      <w:r w:rsidR="008450EF">
        <w:rPr>
          <w:rFonts w:eastAsia="Calibri"/>
        </w:rPr>
        <w:t>to examine in El Paso given it is subjected to widespread and heavy-handed border enforcement and thus becomes a crucial location for creating rights of immigrants and for human rights in the United States in general (Heyman, 2004).  W</w:t>
      </w:r>
      <w:r w:rsidR="00680EB2">
        <w:rPr>
          <w:rFonts w:eastAsia="Calibri"/>
        </w:rPr>
        <w:t xml:space="preserve">e will </w:t>
      </w:r>
      <w:r w:rsidR="009D155E">
        <w:rPr>
          <w:rFonts w:eastAsia="Calibri"/>
        </w:rPr>
        <w:t xml:space="preserve">begin by </w:t>
      </w:r>
      <w:r w:rsidR="00680EB2">
        <w:rPr>
          <w:rFonts w:eastAsia="Calibri"/>
        </w:rPr>
        <w:t>test</w:t>
      </w:r>
      <w:r w:rsidR="009D155E">
        <w:rPr>
          <w:rFonts w:eastAsia="Calibri"/>
        </w:rPr>
        <w:t>ing</w:t>
      </w:r>
      <w:r w:rsidR="00680EB2">
        <w:rPr>
          <w:rFonts w:eastAsia="Calibri"/>
        </w:rPr>
        <w:t xml:space="preserve"> the hypothesis that law enforcement is more likely to ask first- and second-generations about their citizenship status than third generations and later.  </w:t>
      </w:r>
      <w:r w:rsidR="008450EF">
        <w:rPr>
          <w:rFonts w:eastAsia="Calibri"/>
        </w:rPr>
        <w:t>Then</w:t>
      </w:r>
      <w:r w:rsidR="00AE1283">
        <w:rPr>
          <w:rFonts w:eastAsia="Calibri"/>
        </w:rPr>
        <w:t>, w</w:t>
      </w:r>
      <w:r w:rsidR="009D155E">
        <w:rPr>
          <w:rFonts w:eastAsia="Calibri"/>
        </w:rPr>
        <w:t>e test for the i</w:t>
      </w:r>
      <w:r w:rsidR="00ED2588">
        <w:rPr>
          <w:rFonts w:eastAsia="Calibri"/>
        </w:rPr>
        <w:t xml:space="preserve">nfluence </w:t>
      </w:r>
      <w:r w:rsidR="009D155E">
        <w:rPr>
          <w:rFonts w:eastAsia="Calibri"/>
        </w:rPr>
        <w:t xml:space="preserve">of neighborhood effects on the likelihood of individuals being asked about their </w:t>
      </w:r>
      <w:r w:rsidR="009600D1">
        <w:rPr>
          <w:rFonts w:eastAsia="Calibri"/>
        </w:rPr>
        <w:t>citizenship</w:t>
      </w:r>
      <w:r w:rsidR="009D155E">
        <w:rPr>
          <w:rFonts w:eastAsia="Calibri"/>
        </w:rPr>
        <w:t xml:space="preserve"> status</w:t>
      </w:r>
      <w:r>
        <w:rPr>
          <w:rFonts w:eastAsia="Calibri"/>
        </w:rPr>
        <w:t xml:space="preserve"> utilizing Hierarchical Generalized Linear Models (HGLM) procedures</w:t>
      </w:r>
      <w:r w:rsidR="009D155E">
        <w:rPr>
          <w:rFonts w:eastAsia="Calibri"/>
        </w:rPr>
        <w:t xml:space="preserve">.  Specifically, </w:t>
      </w:r>
      <w:r w:rsidR="00680EB2">
        <w:rPr>
          <w:rFonts w:eastAsia="Calibri"/>
        </w:rPr>
        <w:t xml:space="preserve">we </w:t>
      </w:r>
      <w:r w:rsidR="003A5D90">
        <w:rPr>
          <w:rFonts w:eastAsia="Calibri"/>
        </w:rPr>
        <w:t xml:space="preserve">will determine </w:t>
      </w:r>
      <w:r w:rsidR="00680EB2">
        <w:rPr>
          <w:rFonts w:eastAsia="Calibri"/>
        </w:rPr>
        <w:t xml:space="preserve">if </w:t>
      </w:r>
      <w:r w:rsidR="00D138A8">
        <w:rPr>
          <w:rFonts w:eastAsia="Calibri"/>
        </w:rPr>
        <w:t>individuals</w:t>
      </w:r>
      <w:r w:rsidR="00ED2588">
        <w:rPr>
          <w:rFonts w:eastAsia="Calibri"/>
        </w:rPr>
        <w:t xml:space="preserve"> </w:t>
      </w:r>
      <w:r w:rsidR="00D138A8">
        <w:rPr>
          <w:rFonts w:eastAsia="Calibri"/>
        </w:rPr>
        <w:t xml:space="preserve">who reside in </w:t>
      </w:r>
      <w:r w:rsidR="009D155E">
        <w:rPr>
          <w:rFonts w:eastAsia="Calibri"/>
        </w:rPr>
        <w:t xml:space="preserve">poverty neighborhoods or </w:t>
      </w:r>
      <w:r w:rsidR="00680EB2">
        <w:rPr>
          <w:rFonts w:eastAsia="Calibri"/>
        </w:rPr>
        <w:t>ethnic</w:t>
      </w:r>
      <w:r w:rsidR="00927CD1">
        <w:rPr>
          <w:rFonts w:eastAsia="Calibri"/>
        </w:rPr>
        <w:t>/</w:t>
      </w:r>
      <w:r w:rsidR="00680EB2">
        <w:rPr>
          <w:rFonts w:eastAsia="Calibri"/>
        </w:rPr>
        <w:t>immigrant enclave</w:t>
      </w:r>
      <w:r w:rsidR="00ED2588">
        <w:rPr>
          <w:rFonts w:eastAsia="Calibri"/>
        </w:rPr>
        <w:t>s</w:t>
      </w:r>
      <w:r w:rsidR="00680EB2">
        <w:rPr>
          <w:rFonts w:eastAsia="Calibri"/>
        </w:rPr>
        <w:t xml:space="preserve"> </w:t>
      </w:r>
      <w:r w:rsidR="00D138A8">
        <w:rPr>
          <w:rFonts w:eastAsia="Calibri"/>
        </w:rPr>
        <w:t xml:space="preserve">are more likely to be subjected to citizenship profiling. </w:t>
      </w:r>
    </w:p>
    <w:p w14:paraId="5E948594" w14:textId="76DBE8A0" w:rsidR="00BA596D" w:rsidRDefault="00554CC8" w:rsidP="0022775C">
      <w:pPr>
        <w:spacing w:line="480" w:lineRule="auto"/>
        <w:rPr>
          <w:rFonts w:eastAsia="Calibri"/>
        </w:rPr>
      </w:pPr>
      <w:r>
        <w:rPr>
          <w:rFonts w:eastAsia="Calibri"/>
        </w:rPr>
        <w:t xml:space="preserve">CITIZENSHIP PROFILING </w:t>
      </w:r>
    </w:p>
    <w:p w14:paraId="75762576" w14:textId="7E37A74B" w:rsidR="00A25F5D" w:rsidRDefault="00A34C15" w:rsidP="0022775C">
      <w:pPr>
        <w:spacing w:line="480" w:lineRule="auto"/>
        <w:rPr>
          <w:rFonts w:eastAsia="Calibri"/>
        </w:rPr>
      </w:pPr>
      <w:r>
        <w:rPr>
          <w:rFonts w:eastAsia="Calibri"/>
        </w:rPr>
        <w:tab/>
        <w:t>There is limited research on citizenship profiling</w:t>
      </w:r>
      <w:r w:rsidR="00554CC8">
        <w:rPr>
          <w:rFonts w:eastAsia="Calibri"/>
        </w:rPr>
        <w:t xml:space="preserve"> and thus to better establish a conceptual picture we draw from a range of literatures. </w:t>
      </w:r>
      <w:r w:rsidR="00AD75F3">
        <w:rPr>
          <w:rFonts w:eastAsia="Calibri"/>
        </w:rPr>
        <w:t xml:space="preserve"> Most of the literature on the policing of immigrants has focused on individual-level factors.  Therefore, we begin by discussing </w:t>
      </w:r>
      <w:r w:rsidR="00554CC8">
        <w:rPr>
          <w:rFonts w:eastAsia="Calibri"/>
        </w:rPr>
        <w:t>how race and citizenship status interlock together affecting who law enforcement questions about citizenship status</w:t>
      </w:r>
      <w:r w:rsidR="00DC3864">
        <w:rPr>
          <w:rFonts w:eastAsia="Calibri"/>
        </w:rPr>
        <w:t xml:space="preserve">.  </w:t>
      </w:r>
      <w:r w:rsidR="00AD75F3">
        <w:rPr>
          <w:rFonts w:eastAsia="Calibri"/>
        </w:rPr>
        <w:t xml:space="preserve">We then examine </w:t>
      </w:r>
      <w:r w:rsidR="00DC3864">
        <w:rPr>
          <w:rFonts w:eastAsia="Calibri"/>
        </w:rPr>
        <w:t xml:space="preserve">discretionary </w:t>
      </w:r>
      <w:r w:rsidR="00554CC8">
        <w:rPr>
          <w:rFonts w:eastAsia="Calibri"/>
        </w:rPr>
        <w:t xml:space="preserve">policing </w:t>
      </w:r>
      <w:r w:rsidR="00DC3864">
        <w:rPr>
          <w:rFonts w:eastAsia="Calibri"/>
        </w:rPr>
        <w:t>practices</w:t>
      </w:r>
      <w:r w:rsidR="00554CC8">
        <w:rPr>
          <w:rFonts w:eastAsia="Calibri"/>
        </w:rPr>
        <w:t xml:space="preserve"> especially </w:t>
      </w:r>
      <w:r w:rsidR="00AD75F3">
        <w:rPr>
          <w:rFonts w:eastAsia="Calibri"/>
        </w:rPr>
        <w:t xml:space="preserve">as it concerns </w:t>
      </w:r>
      <w:r w:rsidR="00554CC8">
        <w:rPr>
          <w:rFonts w:eastAsia="Calibri"/>
        </w:rPr>
        <w:t>policing immigration</w:t>
      </w:r>
      <w:r w:rsidR="00AD75F3">
        <w:rPr>
          <w:rFonts w:eastAsia="Calibri"/>
        </w:rPr>
        <w:t xml:space="preserve">.  Lastly, we turn to </w:t>
      </w:r>
      <w:r w:rsidR="00B427A5">
        <w:rPr>
          <w:rFonts w:eastAsia="Calibri"/>
        </w:rPr>
        <w:t xml:space="preserve">contextual factors at the neighborhood-level that may affect who law enforcement questions about citizenship status.  </w:t>
      </w:r>
      <w:r w:rsidR="00554CC8">
        <w:rPr>
          <w:rFonts w:eastAsia="Calibri"/>
        </w:rPr>
        <w:t xml:space="preserve">  </w:t>
      </w:r>
    </w:p>
    <w:p w14:paraId="7A9FD1B3" w14:textId="652447BE" w:rsidR="00A25D2A" w:rsidRPr="00A25D2A" w:rsidRDefault="00A25D2A" w:rsidP="00554CC8">
      <w:pPr>
        <w:spacing w:line="480" w:lineRule="auto"/>
      </w:pPr>
      <w:r>
        <w:t>INDIVIDUAL-LEVEL</w:t>
      </w:r>
    </w:p>
    <w:p w14:paraId="2BE37A21" w14:textId="6485C33C" w:rsidR="00554CC8" w:rsidRPr="00ED46E9" w:rsidRDefault="00554CC8" w:rsidP="00554CC8">
      <w:pPr>
        <w:spacing w:line="480" w:lineRule="auto"/>
        <w:rPr>
          <w:u w:val="single"/>
        </w:rPr>
      </w:pPr>
      <w:r w:rsidRPr="00ED46E9">
        <w:rPr>
          <w:u w:val="single"/>
        </w:rPr>
        <w:t xml:space="preserve">Racial and Citizenship Profiling </w:t>
      </w:r>
    </w:p>
    <w:p w14:paraId="4FCA04F7" w14:textId="6A406B57" w:rsidR="00B427A5" w:rsidRDefault="00554CC8" w:rsidP="00B427A5">
      <w:pPr>
        <w:spacing w:line="480" w:lineRule="auto"/>
        <w:ind w:firstLine="720"/>
        <w:rPr>
          <w:rFonts w:eastAsia="Calibri"/>
        </w:rPr>
      </w:pPr>
      <w:r>
        <w:rPr>
          <w:rFonts w:eastAsia="Calibri"/>
        </w:rPr>
        <w:lastRenderedPageBreak/>
        <w:t xml:space="preserve">The practice of detecting undocumented immigrants also raises the obvious concern of racial profiling.  The impact of the law enforcement approaches to policing immigration has particularly target Latina/os, especially poor Mexicans and Central Americans (Chavez, 2008; Ngai, 2003; </w:t>
      </w:r>
      <w:r w:rsidR="00D266DC">
        <w:rPr>
          <w:rFonts w:eastAsia="Calibri"/>
        </w:rPr>
        <w:t xml:space="preserve">Provine and Sanchez, 2011; </w:t>
      </w:r>
      <w:r>
        <w:rPr>
          <w:rFonts w:eastAsia="Calibri"/>
        </w:rPr>
        <w:t xml:space="preserve">Provine et al., 2016).  </w:t>
      </w:r>
      <w:r w:rsidR="00D266DC">
        <w:rPr>
          <w:rFonts w:eastAsia="Calibri"/>
        </w:rPr>
        <w:t xml:space="preserve">As argued by Provine and Sanchez (2011), municipal policing practices aimed at immigrant removal has led to ethno-racial profiling, hyper-surveillance, and abusive stops.  </w:t>
      </w:r>
      <w:r w:rsidR="00B427A5">
        <w:t>The interlocking of race</w:t>
      </w:r>
      <w:r w:rsidR="000C1B5D">
        <w:t>, class,</w:t>
      </w:r>
      <w:r w:rsidR="00B427A5">
        <w:t xml:space="preserve"> and citizenship status shape social </w:t>
      </w:r>
      <w:r w:rsidR="00B427A5" w:rsidRPr="000157E7">
        <w:rPr>
          <w:rFonts w:eastAsia="Calibri"/>
        </w:rPr>
        <w:t xml:space="preserve">constructions of immigrants as criminals affecting U.S. born Latina/o citizens </w:t>
      </w:r>
      <w:r w:rsidR="00B427A5" w:rsidRPr="009731D8">
        <w:rPr>
          <w:rFonts w:eastAsia="Calibri"/>
        </w:rPr>
        <w:t>(Aranda et al., 2014) and even native non-Latina/o and nonimmigrants (Chavez, 2008; Kil et al., 2009).</w:t>
      </w:r>
    </w:p>
    <w:p w14:paraId="50D103FA" w14:textId="3643AD14" w:rsidR="00554CC8" w:rsidRDefault="00554CC8" w:rsidP="00554CC8">
      <w:pPr>
        <w:spacing w:line="480" w:lineRule="auto"/>
        <w:ind w:firstLine="720"/>
      </w:pPr>
      <w:r>
        <w:t>T</w:t>
      </w:r>
      <w:r w:rsidRPr="00295502">
        <w:t xml:space="preserve">he racialization of </w:t>
      </w:r>
      <w:r>
        <w:t xml:space="preserve">detecting undocumented immigrants has led to the disproportionate deportation of Latina/os (Provine et al., 2016), mostly with minor offenses </w:t>
      </w:r>
      <w:r w:rsidRPr="00295502">
        <w:t>(Golash-Boza</w:t>
      </w:r>
      <w:r>
        <w:t>,</w:t>
      </w:r>
      <w:r w:rsidRPr="00295502">
        <w:t xml:space="preserve"> 2012). </w:t>
      </w:r>
      <w:r>
        <w:t xml:space="preserve"> Indeed, only 12 percent of those deported in 2013 had committed a serious crime which points to how Latina/o appearance, rather than criminal misbehavior, guides police officer discretion (Kennis, 2011; Provine et al., 2016). </w:t>
      </w:r>
      <w:r w:rsidR="00B953AD">
        <w:t xml:space="preserve"> Provine et al. (2016, 108) argued that </w:t>
      </w:r>
      <w:r>
        <w:t xml:space="preserve">“What is clear is that racial profiling to achieve deportation outcomes has occurred and is likely to continue unless it is no longer effective” </w:t>
      </w:r>
      <w:r w:rsidR="00B953AD">
        <w:t xml:space="preserve">and has </w:t>
      </w:r>
      <w:r>
        <w:t>continue</w:t>
      </w:r>
      <w:r w:rsidR="00B953AD">
        <w:t>d</w:t>
      </w:r>
      <w:r>
        <w:t xml:space="preserve"> even when the federal government has redesigned its focus on the enforcement of immigrants who committed serio</w:t>
      </w:r>
      <w:r w:rsidR="00B953AD">
        <w:t>us crimes</w:t>
      </w:r>
      <w:r>
        <w:t xml:space="preserve">.  </w:t>
      </w:r>
    </w:p>
    <w:p w14:paraId="4B1AFF2C" w14:textId="2A2424B8" w:rsidR="00977CAA" w:rsidRDefault="00554CC8" w:rsidP="00B427A5">
      <w:pPr>
        <w:spacing w:line="480" w:lineRule="auto"/>
      </w:pPr>
      <w:r>
        <w:tab/>
        <w:t xml:space="preserve">In conjunction, even before the rise in the policing of immigration, Latina/os, including citizens, legal permanent residents, reported that they feel they are more frequently stopped, have negative perceptions of the police, and are less likely to report crimes (Vidales et al., 2009).  </w:t>
      </w:r>
      <w:r w:rsidR="00977CAA" w:rsidRPr="0025505E">
        <w:rPr>
          <w:rFonts w:eastAsia="Calibri"/>
        </w:rPr>
        <w:t xml:space="preserve">Indeed, there are not vast differences between foreign-born and native-born </w:t>
      </w:r>
      <w:r w:rsidR="00977CAA">
        <w:rPr>
          <w:rFonts w:eastAsia="Calibri"/>
        </w:rPr>
        <w:t xml:space="preserve">Latina/o </w:t>
      </w:r>
      <w:r w:rsidR="00977CAA" w:rsidRPr="0025505E">
        <w:rPr>
          <w:rFonts w:eastAsia="Calibri"/>
        </w:rPr>
        <w:t>groups on perceptions regarding the local policing of immigration enforcement (Saenz and Morales, 2015).</w:t>
      </w:r>
      <w:r w:rsidR="00977CAA">
        <w:rPr>
          <w:rFonts w:eastAsia="Calibri"/>
        </w:rPr>
        <w:t xml:space="preserve">  </w:t>
      </w:r>
      <w:r w:rsidR="00977CAA" w:rsidRPr="0025505E">
        <w:rPr>
          <w:rFonts w:eastAsia="Calibri"/>
        </w:rPr>
        <w:t xml:space="preserve">Based on the Pew Hispanic Center’s National Survey of Latinos (2008), Saenz and Morales </w:t>
      </w:r>
      <w:r w:rsidR="00977CAA" w:rsidRPr="0025505E">
        <w:rPr>
          <w:rFonts w:eastAsia="Calibri"/>
        </w:rPr>
        <w:lastRenderedPageBreak/>
        <w:t>(2015) found that Latin</w:t>
      </w:r>
      <w:r w:rsidR="00977CAA">
        <w:rPr>
          <w:rFonts w:eastAsia="Calibri"/>
        </w:rPr>
        <w:t>a/</w:t>
      </w:r>
      <w:r w:rsidR="00977CAA" w:rsidRPr="0025505E">
        <w:rPr>
          <w:rFonts w:eastAsia="Calibri"/>
        </w:rPr>
        <w:t xml:space="preserve">os generally disapprove of local police handling immigration enforcement that is normally the responsibility of the federal government. Specifically, over 80 percent of Mexicans (foreign-born and native-born), Salvadorans (foreign-born and native-born), Other Caribbean Islanders (foreign-born and native-born), and foreign-born South Americans believe that immigration enforcement should be the responsibility of the federal government and not local police.  </w:t>
      </w:r>
      <w:r w:rsidR="00977CAA">
        <w:rPr>
          <w:rFonts w:eastAsia="Calibri"/>
        </w:rPr>
        <w:t xml:space="preserve">When it comes to actual stops, </w:t>
      </w:r>
      <w:r w:rsidR="00977CAA" w:rsidRPr="00B54516">
        <w:rPr>
          <w:rFonts w:eastAsia="Calibri"/>
        </w:rPr>
        <w:t>Saenz and Morales (2015) found that close to 10 percent of Mexicans</w:t>
      </w:r>
      <w:r w:rsidR="00977CAA">
        <w:rPr>
          <w:rFonts w:eastAsia="Calibri"/>
        </w:rPr>
        <w:t xml:space="preserve">-origin individuals, both native- and </w:t>
      </w:r>
      <w:r w:rsidR="00977CAA" w:rsidRPr="00B54516">
        <w:rPr>
          <w:rFonts w:eastAsia="Calibri"/>
        </w:rPr>
        <w:t>foreign-born</w:t>
      </w:r>
      <w:r w:rsidR="00977CAA">
        <w:rPr>
          <w:rFonts w:eastAsia="Calibri"/>
        </w:rPr>
        <w:t xml:space="preserve">, </w:t>
      </w:r>
      <w:r w:rsidR="00977CAA" w:rsidRPr="00B54516">
        <w:rPr>
          <w:rFonts w:eastAsia="Calibri"/>
        </w:rPr>
        <w:t xml:space="preserve">have been stopped by the police and asked about their immigration status.  </w:t>
      </w:r>
      <w:r w:rsidR="000157E7">
        <w:rPr>
          <w:rFonts w:eastAsia="Calibri"/>
        </w:rPr>
        <w:t xml:space="preserve">This is in line with the </w:t>
      </w:r>
      <w:r w:rsidR="00977CAA">
        <w:rPr>
          <w:rFonts w:eastAsia="Calibri"/>
        </w:rPr>
        <w:t>834 U.S. citizens were mistakenly detained under Secure Communities (Provine et al., 2016).</w:t>
      </w:r>
    </w:p>
    <w:p w14:paraId="030492F8" w14:textId="1B571360" w:rsidR="003366C4" w:rsidRPr="003366C4" w:rsidRDefault="00A25D2A" w:rsidP="00E75C57">
      <w:pPr>
        <w:spacing w:line="480" w:lineRule="auto"/>
        <w:rPr>
          <w:u w:val="single"/>
        </w:rPr>
      </w:pPr>
      <w:r>
        <w:rPr>
          <w:u w:val="single"/>
        </w:rPr>
        <w:t xml:space="preserve">Policing Discretion and Immigrants </w:t>
      </w:r>
      <w:r w:rsidR="003366C4" w:rsidRPr="003366C4">
        <w:rPr>
          <w:u w:val="single"/>
        </w:rPr>
        <w:t xml:space="preserve"> </w:t>
      </w:r>
    </w:p>
    <w:p w14:paraId="6186EFCF" w14:textId="1BD9B7AD" w:rsidR="000C7C42" w:rsidRDefault="00632981" w:rsidP="003366C4">
      <w:pPr>
        <w:spacing w:line="480" w:lineRule="auto"/>
      </w:pPr>
      <w:r>
        <w:tab/>
      </w:r>
      <w:r w:rsidR="00EB6415">
        <w:t xml:space="preserve">To answer who is </w:t>
      </w:r>
      <w:r>
        <w:t>stopped and questioned by law enfo</w:t>
      </w:r>
      <w:r w:rsidR="00EB6415">
        <w:t xml:space="preserve">rcement for </w:t>
      </w:r>
      <w:r w:rsidR="00C4478F">
        <w:t>suspect</w:t>
      </w:r>
      <w:r w:rsidR="00A25D2A">
        <w:t>ed</w:t>
      </w:r>
      <w:r w:rsidR="00C4478F">
        <w:t xml:space="preserve"> of </w:t>
      </w:r>
      <w:r w:rsidR="00EB6415">
        <w:t xml:space="preserve">being undocumented is </w:t>
      </w:r>
      <w:r>
        <w:t>difficult to answer in part</w:t>
      </w:r>
      <w:r w:rsidR="00F12D7C">
        <w:t xml:space="preserve"> due</w:t>
      </w:r>
      <w:r>
        <w:t xml:space="preserve"> to the wide discretion that police work ent</w:t>
      </w:r>
      <w:r w:rsidR="004A41BF">
        <w:t>ails</w:t>
      </w:r>
      <w:r w:rsidR="00C4478F">
        <w:t xml:space="preserve">.    </w:t>
      </w:r>
      <w:r w:rsidR="003366C4">
        <w:t xml:space="preserve">Provine et al. (2016:105) </w:t>
      </w:r>
      <w:r>
        <w:t xml:space="preserve">argued that </w:t>
      </w:r>
      <w:r w:rsidR="003366C4">
        <w:t>“Local law enforcement is intensely individualistic work in which officers on the street are generally beyond the view of their supervising officers and enjoy wide discretion regarding how to investigate, and whom to question, stop, and arrest.</w:t>
      </w:r>
      <w:r>
        <w:t xml:space="preserve">” </w:t>
      </w:r>
      <w:r w:rsidR="00E75C57">
        <w:t xml:space="preserve">Moreover, officers can almost always find probable cause to pull over a driver.  For instance, officers can have some intuition or level of suspicion and follow a car to find probable cause (i.e. not wearing seatbelts) </w:t>
      </w:r>
      <w:r w:rsidR="004A41BF">
        <w:t xml:space="preserve">and </w:t>
      </w:r>
      <w:r w:rsidR="003366C4">
        <w:t>stop for technical violations such as a broken taillight or dirty license plate (Provine et al 2016)</w:t>
      </w:r>
      <w:r w:rsidR="00E75C57">
        <w:t xml:space="preserve">. </w:t>
      </w:r>
      <w:r>
        <w:t xml:space="preserve"> Under such circumstances the real reason for a stop differs from the violation that someone is cited.  </w:t>
      </w:r>
    </w:p>
    <w:p w14:paraId="03E6BF7D" w14:textId="2B3804BC" w:rsidR="00632981" w:rsidRDefault="002E2A50" w:rsidP="003366C4">
      <w:pPr>
        <w:spacing w:line="480" w:lineRule="auto"/>
      </w:pPr>
      <w:r w:rsidRPr="002E2A50">
        <w:rPr>
          <w:rFonts w:eastAsia="Calibri"/>
        </w:rPr>
        <w:tab/>
        <w:t>To date, the scholarly literature on law enforcement in the context of immigration</w:t>
      </w:r>
      <w:r w:rsidR="009030E2">
        <w:rPr>
          <w:rFonts w:eastAsia="Calibri"/>
        </w:rPr>
        <w:t xml:space="preserve"> is based on ethnographic and in-depth interviews that demonstrate the high degree of discretion that officers practice when deciding who to question.  </w:t>
      </w:r>
      <w:r w:rsidR="00A25D2A">
        <w:rPr>
          <w:rFonts w:eastAsia="Calibri"/>
        </w:rPr>
        <w:t>I</w:t>
      </w:r>
      <w:r w:rsidR="004A41BF">
        <w:rPr>
          <w:rFonts w:eastAsia="Calibri"/>
        </w:rPr>
        <w:t xml:space="preserve">mmigrants are </w:t>
      </w:r>
      <w:r w:rsidR="00B75D6C" w:rsidRPr="00B75D6C">
        <w:rPr>
          <w:rFonts w:eastAsia="Calibri"/>
        </w:rPr>
        <w:t xml:space="preserve">part of the community </w:t>
      </w:r>
      <w:r w:rsidR="004A41BF">
        <w:rPr>
          <w:rFonts w:eastAsia="Calibri"/>
        </w:rPr>
        <w:t xml:space="preserve">and </w:t>
      </w:r>
      <w:r w:rsidR="004A41BF">
        <w:rPr>
          <w:rFonts w:eastAsia="Calibri"/>
        </w:rPr>
        <w:lastRenderedPageBreak/>
        <w:t xml:space="preserve">thus it is highly likely they will be in </w:t>
      </w:r>
      <w:r w:rsidR="00B75D6C" w:rsidRPr="00B75D6C">
        <w:rPr>
          <w:rFonts w:eastAsia="Calibri"/>
        </w:rPr>
        <w:t xml:space="preserve">contact with local </w:t>
      </w:r>
      <w:r w:rsidR="004A41BF">
        <w:rPr>
          <w:rFonts w:eastAsia="Calibri"/>
        </w:rPr>
        <w:t xml:space="preserve">and/or state </w:t>
      </w:r>
      <w:r w:rsidR="00B75D6C" w:rsidRPr="00B75D6C">
        <w:rPr>
          <w:rFonts w:eastAsia="Calibri"/>
        </w:rPr>
        <w:t>law enforcement</w:t>
      </w:r>
      <w:r w:rsidR="004A41BF">
        <w:rPr>
          <w:rFonts w:eastAsia="Calibri"/>
        </w:rPr>
        <w:t xml:space="preserve"> officers</w:t>
      </w:r>
      <w:r w:rsidR="00A25D2A">
        <w:rPr>
          <w:rFonts w:eastAsia="Calibri"/>
        </w:rPr>
        <w:t xml:space="preserve"> (Armenta, 2011)</w:t>
      </w:r>
      <w:r w:rsidR="00B75D6C" w:rsidRPr="00B75D6C">
        <w:rPr>
          <w:rFonts w:eastAsia="Calibri"/>
        </w:rPr>
        <w:t xml:space="preserve">.  </w:t>
      </w:r>
      <w:r w:rsidR="00C4478F">
        <w:rPr>
          <w:rFonts w:eastAsia="Calibri"/>
        </w:rPr>
        <w:t xml:space="preserve">Decker et al. (2009) found wide variation on the circumstances under which police departments inquire about citizenship status.  </w:t>
      </w:r>
      <w:r w:rsidR="007C0025">
        <w:t xml:space="preserve">Regardless of whether a department has policies on the enforcement of immigration law or not, the power of departmental policy on frontline decisions is not clear given the wide amount of discretion that law enforcement use on the streets (Provine et al., 2016).  </w:t>
      </w:r>
      <w:r w:rsidR="006B7804">
        <w:rPr>
          <w:rFonts w:eastAsia="Calibri"/>
        </w:rPr>
        <w:t>Due to the discretion of police work, l</w:t>
      </w:r>
      <w:r w:rsidR="00632981">
        <w:t xml:space="preserve">aw enforcement decisions are often made </w:t>
      </w:r>
      <w:r w:rsidR="00A25D2A">
        <w:t>per</w:t>
      </w:r>
      <w:r w:rsidR="00632981">
        <w:t xml:space="preserve"> </w:t>
      </w:r>
      <w:r w:rsidR="00B165A0">
        <w:t xml:space="preserve">the officer’s </w:t>
      </w:r>
      <w:r w:rsidR="00632981">
        <w:t xml:space="preserve">moral calculus of getting the “bad guys” rather than a legal one (Herbert 1998).  </w:t>
      </w:r>
      <w:r w:rsidR="00B165A0">
        <w:t xml:space="preserve">Indeed, at times what the </w:t>
      </w:r>
      <w:r w:rsidR="00632981">
        <w:t xml:space="preserve">police officer </w:t>
      </w:r>
      <w:r w:rsidR="00B165A0">
        <w:t xml:space="preserve">determines is </w:t>
      </w:r>
      <w:r w:rsidR="00632981">
        <w:t xml:space="preserve">the “right thing” may </w:t>
      </w:r>
      <w:r w:rsidR="006B7804">
        <w:t xml:space="preserve">even </w:t>
      </w:r>
      <w:r w:rsidR="00B165A0">
        <w:t>conflict with</w:t>
      </w:r>
      <w:r w:rsidR="00632981">
        <w:t xml:space="preserve"> the law (Herbert 1998).</w:t>
      </w:r>
      <w:r w:rsidR="006B7804">
        <w:t xml:space="preserve"> </w:t>
      </w:r>
    </w:p>
    <w:p w14:paraId="085B5756" w14:textId="4715E50C" w:rsidR="00622EF3" w:rsidRDefault="0088730F" w:rsidP="00622EF3">
      <w:pPr>
        <w:spacing w:line="480" w:lineRule="auto"/>
      </w:pPr>
      <w:r>
        <w:tab/>
      </w:r>
      <w:r w:rsidR="00B165A0">
        <w:t xml:space="preserve">Alternatively, immigration policing </w:t>
      </w:r>
      <w:r>
        <w:t>also occur</w:t>
      </w:r>
      <w:r w:rsidR="00A25D2A">
        <w:t>s</w:t>
      </w:r>
      <w:r>
        <w:t xml:space="preserve"> in departments with </w:t>
      </w:r>
      <w:r w:rsidR="00B75D6C">
        <w:rPr>
          <w:rFonts w:eastAsia="Calibri"/>
        </w:rPr>
        <w:t>no policies aim</w:t>
      </w:r>
      <w:r w:rsidR="00F97863">
        <w:rPr>
          <w:rFonts w:eastAsia="Calibri"/>
        </w:rPr>
        <w:t>ed</w:t>
      </w:r>
      <w:r w:rsidR="00B75D6C">
        <w:rPr>
          <w:rFonts w:eastAsia="Calibri"/>
        </w:rPr>
        <w:t xml:space="preserve"> to enforce federal immigration policies </w:t>
      </w:r>
      <w:r w:rsidR="00A25D2A">
        <w:rPr>
          <w:rFonts w:eastAsia="Calibri"/>
        </w:rPr>
        <w:t xml:space="preserve">or happens </w:t>
      </w:r>
      <w:r>
        <w:rPr>
          <w:rFonts w:eastAsia="Calibri"/>
        </w:rPr>
        <w:t xml:space="preserve">through the </w:t>
      </w:r>
      <w:r w:rsidR="003A0B69">
        <w:rPr>
          <w:rFonts w:eastAsia="Calibri"/>
        </w:rPr>
        <w:t>“through the back door</w:t>
      </w:r>
      <w:r>
        <w:rPr>
          <w:rFonts w:eastAsia="Calibri"/>
        </w:rPr>
        <w:t>.</w:t>
      </w:r>
      <w:r w:rsidR="003A0B69">
        <w:rPr>
          <w:rFonts w:eastAsia="Calibri"/>
        </w:rPr>
        <w:t>”</w:t>
      </w:r>
      <w:r>
        <w:rPr>
          <w:rFonts w:eastAsia="Calibri"/>
        </w:rPr>
        <w:t xml:space="preserve">  </w:t>
      </w:r>
      <w:r w:rsidR="00622EF3">
        <w:rPr>
          <w:rFonts w:eastAsia="Calibri"/>
        </w:rPr>
        <w:t xml:space="preserve">Based on a study on the Phoenix metroplex Varsanyi (2008) found that the policing of immigrants occurs through the “back door” </w:t>
      </w:r>
      <w:r w:rsidR="00A25D2A">
        <w:rPr>
          <w:rFonts w:eastAsia="Calibri"/>
        </w:rPr>
        <w:t xml:space="preserve">via ordinances on the use of </w:t>
      </w:r>
      <w:r w:rsidR="003A0B69">
        <w:rPr>
          <w:rFonts w:eastAsia="Calibri"/>
        </w:rPr>
        <w:t xml:space="preserve">public space </w:t>
      </w:r>
      <w:r w:rsidR="00622EF3">
        <w:rPr>
          <w:rFonts w:eastAsia="Calibri"/>
        </w:rPr>
        <w:t xml:space="preserve">that </w:t>
      </w:r>
      <w:r w:rsidR="003A0B69">
        <w:rPr>
          <w:rFonts w:eastAsia="Calibri"/>
        </w:rPr>
        <w:t xml:space="preserve">directly or indirectly exclude undocumented </w:t>
      </w:r>
      <w:r>
        <w:rPr>
          <w:rFonts w:eastAsia="Calibri"/>
        </w:rPr>
        <w:t>individuals</w:t>
      </w:r>
      <w:r w:rsidR="00622EF3">
        <w:rPr>
          <w:rFonts w:eastAsia="Calibri"/>
        </w:rPr>
        <w:t xml:space="preserve">.  </w:t>
      </w:r>
      <w:r w:rsidR="00200316">
        <w:rPr>
          <w:rFonts w:eastAsia="Calibri"/>
        </w:rPr>
        <w:t xml:space="preserve">Perhaps the most common </w:t>
      </w:r>
      <w:r w:rsidR="00B165A0">
        <w:rPr>
          <w:rFonts w:eastAsia="Calibri"/>
        </w:rPr>
        <w:t>“back door</w:t>
      </w:r>
      <w:r w:rsidR="00A25D2A">
        <w:rPr>
          <w:rFonts w:eastAsia="Calibri"/>
        </w:rPr>
        <w:t>”</w:t>
      </w:r>
      <w:r w:rsidR="00B165A0">
        <w:rPr>
          <w:rFonts w:eastAsia="Calibri"/>
        </w:rPr>
        <w:t xml:space="preserve"> policing of immigra</w:t>
      </w:r>
      <w:r w:rsidR="00A25D2A">
        <w:rPr>
          <w:rFonts w:eastAsia="Calibri"/>
        </w:rPr>
        <w:t xml:space="preserve">nts </w:t>
      </w:r>
      <w:r w:rsidR="00200316">
        <w:rPr>
          <w:rFonts w:eastAsia="Calibri"/>
        </w:rPr>
        <w:t xml:space="preserve">is through </w:t>
      </w:r>
      <w:r w:rsidR="006B7804">
        <w:rPr>
          <w:rFonts w:eastAsia="Calibri"/>
        </w:rPr>
        <w:t>traffic offenses</w:t>
      </w:r>
      <w:r w:rsidR="00A328B5">
        <w:rPr>
          <w:rFonts w:eastAsia="Calibri"/>
        </w:rPr>
        <w:t xml:space="preserve">.  </w:t>
      </w:r>
      <w:r w:rsidR="000C7C42">
        <w:rPr>
          <w:rFonts w:eastAsia="Calibri"/>
        </w:rPr>
        <w:t xml:space="preserve">Indeed, </w:t>
      </w:r>
      <w:r w:rsidR="00B165A0">
        <w:rPr>
          <w:rFonts w:eastAsia="Calibri"/>
        </w:rPr>
        <w:t xml:space="preserve">the most serious charge for over half of the immigrants </w:t>
      </w:r>
      <w:r w:rsidR="000C7C42">
        <w:rPr>
          <w:rFonts w:eastAsia="Calibri"/>
        </w:rPr>
        <w:t>deported in 2013</w:t>
      </w:r>
      <w:r w:rsidR="00B165A0">
        <w:rPr>
          <w:rFonts w:eastAsia="Calibri"/>
        </w:rPr>
        <w:t xml:space="preserve"> was a </w:t>
      </w:r>
      <w:r w:rsidR="000C7C42">
        <w:rPr>
          <w:rFonts w:eastAsia="Calibri"/>
        </w:rPr>
        <w:t xml:space="preserve">traffic violation (Provine et al., 2016).  </w:t>
      </w:r>
      <w:r w:rsidR="006B7804">
        <w:rPr>
          <w:rFonts w:eastAsia="Calibri"/>
        </w:rPr>
        <w:t xml:space="preserve">In a study of </w:t>
      </w:r>
      <w:r w:rsidR="003366C4">
        <w:rPr>
          <w:rFonts w:eastAsia="Calibri"/>
        </w:rPr>
        <w:t xml:space="preserve">287 (g) in Nashville, Armenta </w:t>
      </w:r>
      <w:r w:rsidR="006B7804" w:rsidRPr="00A25D2A">
        <w:rPr>
          <w:rFonts w:eastAsia="Calibri"/>
        </w:rPr>
        <w:t>(</w:t>
      </w:r>
      <w:r w:rsidR="00A25D2A" w:rsidRPr="00A25D2A">
        <w:rPr>
          <w:rFonts w:eastAsia="Calibri"/>
        </w:rPr>
        <w:t>2016</w:t>
      </w:r>
      <w:r w:rsidR="006B7804" w:rsidRPr="00A25D2A">
        <w:rPr>
          <w:rFonts w:eastAsia="Calibri"/>
        </w:rPr>
        <w:t>)</w:t>
      </w:r>
      <w:r w:rsidR="006B7804">
        <w:rPr>
          <w:rFonts w:eastAsia="Calibri"/>
        </w:rPr>
        <w:t xml:space="preserve"> </w:t>
      </w:r>
      <w:r w:rsidR="003366C4">
        <w:rPr>
          <w:rFonts w:eastAsia="Calibri"/>
        </w:rPr>
        <w:t xml:space="preserve">found </w:t>
      </w:r>
      <w:r w:rsidR="00AE4C7F">
        <w:rPr>
          <w:rFonts w:eastAsia="Calibri"/>
        </w:rPr>
        <w:t xml:space="preserve">that department culture prioritizes traffic stops which inevitably places local police in contact with unauthorized immigrants who because of ineligibility for driver’s license and identification cards are vulnerable to arrest.  </w:t>
      </w:r>
      <w:r w:rsidR="00AE4C7F">
        <w:t xml:space="preserve">This is a concern for </w:t>
      </w:r>
      <w:r w:rsidR="00A25D2A">
        <w:t xml:space="preserve">undocumented </w:t>
      </w:r>
      <w:r w:rsidR="00AE4C7F">
        <w:t xml:space="preserve">immigrants who, with a few exceptions, do not have access to a state IDs and drivers’ license, as thus they are committing an infraction with the very act of driving.  </w:t>
      </w:r>
    </w:p>
    <w:p w14:paraId="41007D20" w14:textId="197E1678" w:rsidR="000634B7" w:rsidRDefault="007C0025" w:rsidP="004B414E">
      <w:pPr>
        <w:spacing w:line="480" w:lineRule="auto"/>
      </w:pPr>
      <w:r>
        <w:rPr>
          <w:rFonts w:eastAsia="Calibri"/>
        </w:rPr>
        <w:tab/>
      </w:r>
      <w:r w:rsidR="003366C4">
        <w:t xml:space="preserve"> </w:t>
      </w:r>
      <w:r w:rsidR="000634B7">
        <w:t xml:space="preserve">Another challenge to the policing of immigrants is the lack of acculturation to American policing standards.  For instance, police are suspicious of </w:t>
      </w:r>
      <w:r w:rsidR="00AE4C7F">
        <w:t xml:space="preserve">individuals </w:t>
      </w:r>
      <w:r w:rsidR="000634B7">
        <w:t xml:space="preserve">who do not follow the </w:t>
      </w:r>
      <w:r w:rsidR="000634B7">
        <w:lastRenderedPageBreak/>
        <w:t>American practice of pulling over to the right side of the road during traffic stops (Khashu, Busch, and Latif</w:t>
      </w:r>
      <w:r w:rsidR="00C809AC">
        <w:t>,</w:t>
      </w:r>
      <w:r w:rsidR="000634B7">
        <w:t xml:space="preserve"> 2005; Lewis and Ramakrishnan</w:t>
      </w:r>
      <w:r w:rsidR="00C809AC">
        <w:t>,</w:t>
      </w:r>
      <w:r w:rsidR="000634B7">
        <w:t xml:space="preserve"> 2007).  </w:t>
      </w:r>
      <w:r w:rsidR="00AE4C7F">
        <w:t xml:space="preserve">This is a concern for immigrants who are not familiar with American policing practices.  </w:t>
      </w:r>
      <w:r w:rsidR="000634B7">
        <w:t>In return, immigrants also are reluctant to trust police officers due to the negative experiences they have had with law enforcement in their home countries (</w:t>
      </w:r>
      <w:r w:rsidR="00CD0A1C">
        <w:t xml:space="preserve">Davis et al., 2001; </w:t>
      </w:r>
      <w:r w:rsidR="000634B7">
        <w:t>Menjivar and Bejarano</w:t>
      </w:r>
      <w:r w:rsidR="00C809AC">
        <w:t>,</w:t>
      </w:r>
      <w:r w:rsidR="000634B7">
        <w:t xml:space="preserve"> 2004)</w:t>
      </w:r>
      <w:r w:rsidR="00526794">
        <w:t xml:space="preserve">, although </w:t>
      </w:r>
      <w:r w:rsidR="00717A5B">
        <w:t xml:space="preserve">in the case of Chinese immigrants the comparison with policing in their home country is associated with favorable views of law enforcement in the U.S. (Wu et al., 2011).  </w:t>
      </w:r>
      <w:r w:rsidR="006B68D1">
        <w:t xml:space="preserve">Moreover, recent immigrants are less aware of community policing practices which has implication for police-community relations (Davis and Miller, 2002). </w:t>
      </w:r>
    </w:p>
    <w:p w14:paraId="3CE6ADE5" w14:textId="004269E0" w:rsidR="00C809AC" w:rsidRDefault="002D3989" w:rsidP="004B414E">
      <w:pPr>
        <w:spacing w:line="480" w:lineRule="auto"/>
      </w:pPr>
      <w:r>
        <w:t>POVERTY AND ENCLAVES AND CITIZENSHIP PROFILING AT NEIGHBORHOOD-LEVEL</w:t>
      </w:r>
      <w:r w:rsidR="00C809AC">
        <w:t xml:space="preserve"> </w:t>
      </w:r>
    </w:p>
    <w:p w14:paraId="70E5B638" w14:textId="436A9B08" w:rsidR="00BB77E3" w:rsidRPr="009B56DD" w:rsidRDefault="00C132D3" w:rsidP="00BB77E3">
      <w:pPr>
        <w:spacing w:line="480" w:lineRule="auto"/>
        <w:ind w:firstLine="720"/>
        <w:rPr>
          <w:rFonts w:eastAsia="Calibri"/>
        </w:rPr>
      </w:pPr>
      <w:r>
        <w:rPr>
          <w:rFonts w:eastAsia="Calibri"/>
        </w:rPr>
        <w:t xml:space="preserve">Despite an individual’s </w:t>
      </w:r>
      <w:r w:rsidR="00300E5E">
        <w:rPr>
          <w:rFonts w:eastAsia="Calibri"/>
        </w:rPr>
        <w:t>race/</w:t>
      </w:r>
      <w:r>
        <w:rPr>
          <w:rFonts w:eastAsia="Calibri"/>
        </w:rPr>
        <w:t>ethnicity and immigration status, the neighborhood context in which individuals reside could provide important contextual information about who is asked about their citizenship status by law enforcement.</w:t>
      </w:r>
      <w:r w:rsidR="006164B2">
        <w:rPr>
          <w:rFonts w:eastAsia="Calibri"/>
        </w:rPr>
        <w:t xml:space="preserve"> </w:t>
      </w:r>
      <w:r w:rsidR="00300E5E">
        <w:rPr>
          <w:rFonts w:eastAsia="Calibri"/>
        </w:rPr>
        <w:t xml:space="preserve">To date, most of the literature on policing </w:t>
      </w:r>
      <w:r w:rsidR="003661C2">
        <w:rPr>
          <w:rFonts w:eastAsia="Calibri"/>
        </w:rPr>
        <w:t>and Latin</w:t>
      </w:r>
      <w:r w:rsidR="002D3989">
        <w:rPr>
          <w:rFonts w:eastAsia="Calibri"/>
        </w:rPr>
        <w:t>a/</w:t>
      </w:r>
      <w:r w:rsidR="003661C2">
        <w:rPr>
          <w:rFonts w:eastAsia="Calibri"/>
        </w:rPr>
        <w:t xml:space="preserve">os and immigrants </w:t>
      </w:r>
      <w:r w:rsidR="00300E5E">
        <w:rPr>
          <w:rFonts w:eastAsia="Calibri"/>
        </w:rPr>
        <w:t xml:space="preserve">has focused on </w:t>
      </w:r>
      <w:r w:rsidR="00DC2C4A">
        <w:rPr>
          <w:rFonts w:eastAsia="Calibri"/>
        </w:rPr>
        <w:t xml:space="preserve">how </w:t>
      </w:r>
      <w:r w:rsidR="00300E5E">
        <w:rPr>
          <w:rFonts w:eastAsia="Calibri"/>
        </w:rPr>
        <w:t>individual-level factors influence questioning and detention by police</w:t>
      </w:r>
      <w:r w:rsidR="00F62851">
        <w:rPr>
          <w:rFonts w:eastAsia="Calibri"/>
        </w:rPr>
        <w:t xml:space="preserve"> rather than characteristics associated with neighborhood</w:t>
      </w:r>
      <w:r w:rsidR="00F32B79">
        <w:rPr>
          <w:rFonts w:eastAsia="Calibri"/>
        </w:rPr>
        <w:t>s</w:t>
      </w:r>
      <w:r w:rsidR="00F62851">
        <w:rPr>
          <w:rFonts w:eastAsia="Calibri"/>
        </w:rPr>
        <w:t xml:space="preserve"> in which individuals reside</w:t>
      </w:r>
      <w:r w:rsidR="00300E5E">
        <w:rPr>
          <w:rFonts w:eastAsia="Calibri"/>
        </w:rPr>
        <w:t xml:space="preserve">.  </w:t>
      </w:r>
      <w:r w:rsidR="008755D9">
        <w:rPr>
          <w:rFonts w:eastAsia="Calibri"/>
        </w:rPr>
        <w:t xml:space="preserve">Moreover, </w:t>
      </w:r>
      <w:r w:rsidR="00F32B79">
        <w:rPr>
          <w:rFonts w:eastAsia="Calibri"/>
        </w:rPr>
        <w:t xml:space="preserve">most of the </w:t>
      </w:r>
      <w:r w:rsidR="003661C2">
        <w:rPr>
          <w:rFonts w:eastAsia="Calibri"/>
        </w:rPr>
        <w:t xml:space="preserve">literature on policing and neighborhood context has focused on </w:t>
      </w:r>
      <w:r w:rsidR="009353EA">
        <w:rPr>
          <w:rFonts w:eastAsia="Calibri"/>
        </w:rPr>
        <w:t xml:space="preserve">ethnographic scholarship </w:t>
      </w:r>
      <w:r w:rsidR="00BB77E3">
        <w:rPr>
          <w:rFonts w:eastAsia="Calibri"/>
        </w:rPr>
        <w:t xml:space="preserve">on </w:t>
      </w:r>
      <w:r w:rsidR="003661C2">
        <w:rPr>
          <w:rFonts w:eastAsia="Calibri"/>
        </w:rPr>
        <w:t xml:space="preserve">the experiences of poor </w:t>
      </w:r>
      <w:r w:rsidR="002D3989">
        <w:rPr>
          <w:rFonts w:eastAsia="Calibri"/>
        </w:rPr>
        <w:t xml:space="preserve">urban </w:t>
      </w:r>
      <w:r w:rsidR="003661C2">
        <w:rPr>
          <w:rFonts w:eastAsia="Calibri"/>
        </w:rPr>
        <w:t>Blacks</w:t>
      </w:r>
      <w:r w:rsidR="00BB77E3">
        <w:rPr>
          <w:rFonts w:eastAsia="Calibri"/>
        </w:rPr>
        <w:t xml:space="preserve"> </w:t>
      </w:r>
      <w:r w:rsidR="002D3989">
        <w:rPr>
          <w:rFonts w:eastAsia="Calibri"/>
        </w:rPr>
        <w:t xml:space="preserve">and </w:t>
      </w:r>
      <w:r w:rsidR="00F32B79">
        <w:rPr>
          <w:rFonts w:eastAsia="Calibri"/>
        </w:rPr>
        <w:t xml:space="preserve">has </w:t>
      </w:r>
      <w:r w:rsidR="002D3989">
        <w:rPr>
          <w:rFonts w:eastAsia="Calibri"/>
        </w:rPr>
        <w:t xml:space="preserve">highlighted </w:t>
      </w:r>
      <w:r w:rsidR="00BB77E3" w:rsidRPr="009B56DD">
        <w:t>punitive surveillance, disproportionate</w:t>
      </w:r>
      <w:r w:rsidR="00F32B79">
        <w:t xml:space="preserve"> number of </w:t>
      </w:r>
      <w:r w:rsidR="00BB77E3" w:rsidRPr="009B56DD">
        <w:t xml:space="preserve">citations, </w:t>
      </w:r>
      <w:r w:rsidR="002D3989">
        <w:t xml:space="preserve">and </w:t>
      </w:r>
      <w:r w:rsidR="00BB77E3" w:rsidRPr="009B56DD">
        <w:t>disrespectful treatment</w:t>
      </w:r>
      <w:r w:rsidR="002D3989">
        <w:t xml:space="preserve"> </w:t>
      </w:r>
      <w:r w:rsidR="00BB77E3" w:rsidRPr="009B56DD">
        <w:t>(</w:t>
      </w:r>
      <w:r w:rsidR="00BB77E3">
        <w:t xml:space="preserve">for example, </w:t>
      </w:r>
      <w:r w:rsidR="00BB77E3" w:rsidRPr="009B56DD">
        <w:t>Desmond and Valdez, 2013; Goffman, 2009; Rios, 2011</w:t>
      </w:r>
      <w:r w:rsidR="006511FE">
        <w:t>)</w:t>
      </w:r>
      <w:r w:rsidR="00F32B79">
        <w:t>, among other negative impacts</w:t>
      </w:r>
      <w:r w:rsidR="006511FE">
        <w:t xml:space="preserve">.  </w:t>
      </w:r>
      <w:r w:rsidR="00BE3BA8">
        <w:t xml:space="preserve">Moreover, the literature on concentrated neighborhood disadvantage and race has focused on crime, while the literature on immigrant neighborhood clustering falls under the context of the ethnic enclave, both of which have given limited attention to policing.  </w:t>
      </w:r>
      <w:r w:rsidR="00F32B79">
        <w:t xml:space="preserve">Below we </w:t>
      </w:r>
      <w:r w:rsidR="00BE3BA8">
        <w:lastRenderedPageBreak/>
        <w:t xml:space="preserve">draw some useful insights from both the scholarship on the influence of </w:t>
      </w:r>
      <w:r w:rsidR="006511FE">
        <w:t>concentrated neighborhood disadvantage and crime</w:t>
      </w:r>
      <w:r w:rsidR="00BE3BA8">
        <w:t xml:space="preserve"> and ethnic enclaves.  </w:t>
      </w:r>
      <w:r w:rsidR="006511FE">
        <w:t xml:space="preserve"> </w:t>
      </w:r>
    </w:p>
    <w:p w14:paraId="5F187E8C" w14:textId="2A3AC185" w:rsidR="00DC2C4A" w:rsidRPr="00DC2C4A" w:rsidRDefault="009353EA" w:rsidP="00DC2C4A">
      <w:pPr>
        <w:spacing w:line="480" w:lineRule="auto"/>
        <w:ind w:firstLine="720"/>
        <w:rPr>
          <w:rFonts w:eastAsia="Calibri"/>
        </w:rPr>
      </w:pPr>
      <w:r>
        <w:rPr>
          <w:rFonts w:eastAsia="Calibri"/>
        </w:rPr>
        <w:t xml:space="preserve">There is less survey </w:t>
      </w:r>
      <w:r w:rsidR="003661C2">
        <w:rPr>
          <w:rFonts w:eastAsia="Calibri"/>
        </w:rPr>
        <w:t xml:space="preserve">research on neighborhood context and policing </w:t>
      </w:r>
      <w:r>
        <w:rPr>
          <w:rFonts w:eastAsia="Calibri"/>
        </w:rPr>
        <w:t xml:space="preserve">that </w:t>
      </w:r>
      <w:r w:rsidR="003661C2">
        <w:rPr>
          <w:rFonts w:eastAsia="Calibri"/>
        </w:rPr>
        <w:t xml:space="preserve">has examined the influence of poverty and race/ethnicity.  </w:t>
      </w:r>
      <w:r>
        <w:rPr>
          <w:rFonts w:eastAsia="Calibri"/>
        </w:rPr>
        <w:t xml:space="preserve">An important exception is the </w:t>
      </w:r>
      <w:r w:rsidR="00300E5E">
        <w:rPr>
          <w:rFonts w:eastAsia="Calibri"/>
        </w:rPr>
        <w:t xml:space="preserve">work of </w:t>
      </w:r>
      <w:r w:rsidR="00300E5E" w:rsidRPr="00F62851">
        <w:rPr>
          <w:rFonts w:eastAsia="Calibri"/>
        </w:rPr>
        <w:t xml:space="preserve">Sampson </w:t>
      </w:r>
      <w:r w:rsidR="00DC2C4A" w:rsidRPr="00F62851">
        <w:rPr>
          <w:rFonts w:eastAsia="Calibri"/>
        </w:rPr>
        <w:t xml:space="preserve">and associates </w:t>
      </w:r>
      <w:r w:rsidR="00DC2C4A" w:rsidRPr="00DC2C4A">
        <w:rPr>
          <w:rFonts w:eastAsia="Calibri"/>
        </w:rPr>
        <w:t>(Sampson and Bean 2006; Sampson and Wilson 1995)</w:t>
      </w:r>
      <w:r>
        <w:rPr>
          <w:rFonts w:eastAsia="Calibri"/>
        </w:rPr>
        <w:t xml:space="preserve"> who </w:t>
      </w:r>
      <w:r w:rsidR="00DC2C4A" w:rsidRPr="00DC2C4A">
        <w:rPr>
          <w:rFonts w:eastAsia="Calibri"/>
        </w:rPr>
        <w:t xml:space="preserve">conceptualized the </w:t>
      </w:r>
      <w:r w:rsidR="00DC2C4A" w:rsidRPr="00DC2C4A">
        <w:rPr>
          <w:rFonts w:eastAsia="Calibri"/>
          <w:i/>
        </w:rPr>
        <w:t>racial invariance thesis</w:t>
      </w:r>
      <w:r w:rsidR="00DC2C4A" w:rsidRPr="00DC2C4A">
        <w:rPr>
          <w:rFonts w:eastAsia="Calibri"/>
        </w:rPr>
        <w:t xml:space="preserve"> that highlights the importance of concentrated disadvantage and racial segregation on explaining black-white racial disparities in crime.</w:t>
      </w:r>
      <w:r w:rsidR="00DC2C4A">
        <w:rPr>
          <w:rFonts w:eastAsia="Calibri"/>
          <w:color w:val="0070C0"/>
        </w:rPr>
        <w:t xml:space="preserve">  </w:t>
      </w:r>
      <w:r w:rsidR="00DC2C4A" w:rsidRPr="00DC2C4A">
        <w:rPr>
          <w:rFonts w:eastAsia="Calibri"/>
        </w:rPr>
        <w:t xml:space="preserve">The </w:t>
      </w:r>
      <w:r w:rsidR="00DC2C4A" w:rsidRPr="00DC2C4A">
        <w:rPr>
          <w:rFonts w:eastAsia="Calibri"/>
          <w:i/>
        </w:rPr>
        <w:t>racial invariance thesis</w:t>
      </w:r>
      <w:r w:rsidR="00DC2C4A" w:rsidRPr="00DC2C4A">
        <w:rPr>
          <w:rFonts w:eastAsia="Calibri"/>
        </w:rPr>
        <w:t xml:space="preserve"> </w:t>
      </w:r>
      <w:r w:rsidR="00F62851">
        <w:rPr>
          <w:rFonts w:eastAsia="Calibri"/>
        </w:rPr>
        <w:t xml:space="preserve">has also been found to be relevant </w:t>
      </w:r>
      <w:r w:rsidR="003E660D">
        <w:rPr>
          <w:rFonts w:eastAsia="Calibri"/>
        </w:rPr>
        <w:t xml:space="preserve">for </w:t>
      </w:r>
      <w:r w:rsidR="00DC2C4A" w:rsidRPr="00DC2C4A">
        <w:rPr>
          <w:rFonts w:eastAsia="Calibri"/>
        </w:rPr>
        <w:t>Latin</w:t>
      </w:r>
      <w:r w:rsidR="003E660D">
        <w:rPr>
          <w:rFonts w:eastAsia="Calibri"/>
        </w:rPr>
        <w:t>a/</w:t>
      </w:r>
      <w:r w:rsidR="00DC2C4A" w:rsidRPr="00DC2C4A">
        <w:rPr>
          <w:rFonts w:eastAsia="Calibri"/>
        </w:rPr>
        <w:t xml:space="preserve">os (Martinez 2003; 2008). </w:t>
      </w:r>
      <w:r w:rsidR="00DC2C4A">
        <w:rPr>
          <w:rFonts w:eastAsia="Calibri"/>
        </w:rPr>
        <w:t xml:space="preserve"> </w:t>
      </w:r>
      <w:r w:rsidR="00C809AC">
        <w:rPr>
          <w:rFonts w:eastAsia="Calibri"/>
        </w:rPr>
        <w:t>Blacks and Latina/os are relegated to reside in geographical areas marked by c</w:t>
      </w:r>
      <w:r w:rsidR="00DC2C4A" w:rsidRPr="00975DE0">
        <w:rPr>
          <w:rFonts w:eastAsia="Calibri"/>
        </w:rPr>
        <w:t xml:space="preserve">oncentrated disadvantage </w:t>
      </w:r>
      <w:r w:rsidR="00C809AC">
        <w:rPr>
          <w:rFonts w:eastAsia="Calibri"/>
        </w:rPr>
        <w:t xml:space="preserve">due to an </w:t>
      </w:r>
      <w:r w:rsidR="00975DE0" w:rsidRPr="00975DE0">
        <w:rPr>
          <w:rFonts w:eastAsia="Calibri"/>
        </w:rPr>
        <w:t xml:space="preserve">array of </w:t>
      </w:r>
      <w:r w:rsidR="00DC2C4A" w:rsidRPr="00975DE0">
        <w:rPr>
          <w:rFonts w:eastAsia="Calibri"/>
        </w:rPr>
        <w:t xml:space="preserve">economic and social </w:t>
      </w:r>
      <w:r w:rsidR="00975DE0" w:rsidRPr="00975DE0">
        <w:rPr>
          <w:rFonts w:eastAsia="Calibri"/>
        </w:rPr>
        <w:t xml:space="preserve">disparities </w:t>
      </w:r>
      <w:r w:rsidR="00DC2C4A" w:rsidRPr="00975DE0">
        <w:rPr>
          <w:rFonts w:eastAsia="Calibri"/>
        </w:rPr>
        <w:t>(e.g., joblessness, welfare dependency, poverty, family disruption, and residential instability)</w:t>
      </w:r>
      <w:r w:rsidR="00C809AC">
        <w:rPr>
          <w:rFonts w:eastAsia="Calibri"/>
        </w:rPr>
        <w:t xml:space="preserve"> all of which are associated with crime </w:t>
      </w:r>
      <w:r w:rsidR="00DC2C4A" w:rsidRPr="00975DE0">
        <w:rPr>
          <w:rFonts w:eastAsia="Calibri"/>
        </w:rPr>
        <w:t xml:space="preserve">(Martin et al. 2011). </w:t>
      </w:r>
      <w:r w:rsidR="00975DE0" w:rsidRPr="00975DE0">
        <w:rPr>
          <w:rFonts w:eastAsia="Calibri"/>
        </w:rPr>
        <w:t xml:space="preserve"> </w:t>
      </w:r>
    </w:p>
    <w:p w14:paraId="10AB9ACF" w14:textId="597F2FC3" w:rsidR="006511FE" w:rsidRDefault="00975DE0" w:rsidP="006511FE">
      <w:pPr>
        <w:spacing w:line="480" w:lineRule="auto"/>
        <w:ind w:firstLine="720"/>
        <w:rPr>
          <w:rFonts w:eastAsia="Calibri"/>
        </w:rPr>
      </w:pPr>
      <w:r w:rsidRPr="00975DE0">
        <w:rPr>
          <w:rFonts w:eastAsia="Calibri"/>
        </w:rPr>
        <w:t xml:space="preserve">Yet, when it comes to immigrant neighborhoods there is less clarity about the influence of what is referred to as concentrated disadvantages on </w:t>
      </w:r>
      <w:r w:rsidR="006511FE">
        <w:rPr>
          <w:rFonts w:eastAsia="Calibri"/>
        </w:rPr>
        <w:t xml:space="preserve">crime and </w:t>
      </w:r>
      <w:r w:rsidRPr="00975DE0">
        <w:rPr>
          <w:rFonts w:eastAsia="Calibri"/>
        </w:rPr>
        <w:t xml:space="preserve">policing.  </w:t>
      </w:r>
      <w:r w:rsidRPr="002D55FF">
        <w:rPr>
          <w:rFonts w:eastAsia="Calibri"/>
        </w:rPr>
        <w:t xml:space="preserve">Expanding upon Sampson’s and associates </w:t>
      </w:r>
      <w:r w:rsidR="002D2B3A" w:rsidRPr="00C809AC">
        <w:rPr>
          <w:rFonts w:eastAsia="Calibri"/>
          <w:i/>
        </w:rPr>
        <w:t>racial invariance perspective</w:t>
      </w:r>
      <w:r w:rsidR="002D2B3A">
        <w:rPr>
          <w:rFonts w:eastAsia="Calibri"/>
        </w:rPr>
        <w:t xml:space="preserve"> </w:t>
      </w:r>
      <w:r w:rsidRPr="002D55FF">
        <w:rPr>
          <w:rFonts w:eastAsia="Calibri"/>
        </w:rPr>
        <w:t>(</w:t>
      </w:r>
      <w:r w:rsidR="00F62851">
        <w:rPr>
          <w:rFonts w:eastAsia="Calibri"/>
        </w:rPr>
        <w:t xml:space="preserve">e.g., </w:t>
      </w:r>
      <w:r w:rsidR="00F62851" w:rsidRPr="00DC2C4A">
        <w:rPr>
          <w:rFonts w:eastAsia="Calibri"/>
        </w:rPr>
        <w:t>Sampson and Bean 2006; Sampson and Wilson 1995</w:t>
      </w:r>
      <w:r w:rsidRPr="002D55FF">
        <w:rPr>
          <w:rFonts w:eastAsia="Calibri"/>
        </w:rPr>
        <w:t>)</w:t>
      </w:r>
      <w:r w:rsidR="002D2B3A">
        <w:rPr>
          <w:rFonts w:eastAsia="Calibri"/>
        </w:rPr>
        <w:t xml:space="preserve">, </w:t>
      </w:r>
      <w:r w:rsidRPr="00F62851">
        <w:rPr>
          <w:rFonts w:eastAsia="Calibri"/>
        </w:rPr>
        <w:t xml:space="preserve">Martinez (2002, 2013) and Martinez and Valenzuela (2006) developed the </w:t>
      </w:r>
      <w:r w:rsidRPr="00F62851">
        <w:rPr>
          <w:rFonts w:eastAsia="Calibri"/>
          <w:i/>
        </w:rPr>
        <w:t>immigrant revitalization theory</w:t>
      </w:r>
      <w:r w:rsidRPr="00F62851">
        <w:rPr>
          <w:rFonts w:eastAsia="Calibri"/>
        </w:rPr>
        <w:t xml:space="preserve"> to describe how immigration revitalizes impoverished urban neighborhoods with hard-working families and new businesses, </w:t>
      </w:r>
      <w:r w:rsidR="00F62851" w:rsidRPr="00F62851">
        <w:rPr>
          <w:rFonts w:eastAsia="Calibri"/>
        </w:rPr>
        <w:t xml:space="preserve">both of which </w:t>
      </w:r>
      <w:r w:rsidRPr="00F62851">
        <w:rPr>
          <w:rFonts w:eastAsia="Calibri"/>
        </w:rPr>
        <w:t>lower crime.</w:t>
      </w:r>
      <w:r w:rsidR="003E660D">
        <w:rPr>
          <w:rFonts w:eastAsia="Calibri"/>
        </w:rPr>
        <w:t xml:space="preserve">  </w:t>
      </w:r>
      <w:r w:rsidR="006511FE">
        <w:rPr>
          <w:rFonts w:eastAsia="Calibri"/>
        </w:rPr>
        <w:t>Vélez (2009) on the other hand, agrees that recent immigrants reinvigorate disadvantaged neighborhoods but found recent immigrants increase</w:t>
      </w:r>
      <w:r w:rsidR="00F32B79">
        <w:rPr>
          <w:rFonts w:eastAsia="Calibri"/>
        </w:rPr>
        <w:t>d</w:t>
      </w:r>
      <w:r w:rsidR="006511FE">
        <w:rPr>
          <w:rFonts w:eastAsia="Calibri"/>
        </w:rPr>
        <w:t xml:space="preserve"> local homicide levels in disadvantage</w:t>
      </w:r>
      <w:r w:rsidR="00AD1E03">
        <w:rPr>
          <w:rFonts w:eastAsia="Calibri"/>
        </w:rPr>
        <w:t>d</w:t>
      </w:r>
      <w:r w:rsidR="006511FE">
        <w:rPr>
          <w:rFonts w:eastAsia="Calibri"/>
        </w:rPr>
        <w:t xml:space="preserve"> </w:t>
      </w:r>
      <w:r w:rsidR="00F32B79">
        <w:rPr>
          <w:rFonts w:eastAsia="Calibri"/>
        </w:rPr>
        <w:t xml:space="preserve">neighborhood </w:t>
      </w:r>
      <w:r w:rsidR="006511FE">
        <w:rPr>
          <w:rFonts w:eastAsia="Calibri"/>
        </w:rPr>
        <w:t xml:space="preserve">contexts. </w:t>
      </w:r>
    </w:p>
    <w:p w14:paraId="27002FA6" w14:textId="53FFD7E0" w:rsidR="00FD25FC" w:rsidRDefault="00F32B79" w:rsidP="00975DE0">
      <w:pPr>
        <w:spacing w:line="480" w:lineRule="auto"/>
        <w:ind w:firstLine="720"/>
        <w:rPr>
          <w:rFonts w:eastAsia="Calibri"/>
        </w:rPr>
      </w:pPr>
      <w:r>
        <w:rPr>
          <w:rFonts w:eastAsia="Calibri"/>
        </w:rPr>
        <w:t xml:space="preserve">When examining the influence of neighborhood clustering the immigrant literature has focused on the </w:t>
      </w:r>
      <w:r w:rsidR="00FD25FC">
        <w:rPr>
          <w:rFonts w:eastAsia="Calibri"/>
        </w:rPr>
        <w:t xml:space="preserve">concept of </w:t>
      </w:r>
      <w:r>
        <w:rPr>
          <w:rFonts w:eastAsia="Calibri"/>
        </w:rPr>
        <w:t xml:space="preserve">the </w:t>
      </w:r>
      <w:r w:rsidR="00FD25FC">
        <w:rPr>
          <w:rFonts w:eastAsia="Calibri"/>
        </w:rPr>
        <w:t xml:space="preserve">ethnic enclave.  </w:t>
      </w:r>
      <w:r w:rsidR="00EF4292">
        <w:rPr>
          <w:rFonts w:eastAsia="Calibri"/>
        </w:rPr>
        <w:t xml:space="preserve">First coined by </w:t>
      </w:r>
      <w:r w:rsidR="00EF4292" w:rsidRPr="00EF4292">
        <w:rPr>
          <w:rFonts w:eastAsia="Calibri"/>
        </w:rPr>
        <w:t xml:space="preserve">Hanna and Hanna </w:t>
      </w:r>
      <w:r w:rsidR="00EF4292">
        <w:rPr>
          <w:rFonts w:eastAsia="Calibri"/>
        </w:rPr>
        <w:t>(</w:t>
      </w:r>
      <w:r w:rsidR="00EF4292" w:rsidRPr="00EF4292">
        <w:rPr>
          <w:rFonts w:eastAsia="Calibri"/>
        </w:rPr>
        <w:t>1967</w:t>
      </w:r>
      <w:r w:rsidR="00EF4292">
        <w:rPr>
          <w:rFonts w:eastAsia="Calibri"/>
        </w:rPr>
        <w:t xml:space="preserve">), </w:t>
      </w:r>
      <w:r w:rsidR="00FD25FC" w:rsidRPr="00FD25FC">
        <w:rPr>
          <w:rFonts w:eastAsia="Calibri"/>
        </w:rPr>
        <w:t xml:space="preserve">Alejandro Portes and his </w:t>
      </w:r>
      <w:r w:rsidR="00AD1E03">
        <w:rPr>
          <w:rFonts w:eastAsia="Calibri"/>
        </w:rPr>
        <w:t xml:space="preserve">associates </w:t>
      </w:r>
      <w:r w:rsidR="00FD25FC" w:rsidRPr="00FD25FC">
        <w:rPr>
          <w:rFonts w:eastAsia="Calibri"/>
        </w:rPr>
        <w:t xml:space="preserve">(Portes and Bach 1985; Portes and Manning 1985; and Portes </w:t>
      </w:r>
      <w:r w:rsidR="00FD25FC" w:rsidRPr="00FD25FC">
        <w:rPr>
          <w:rFonts w:eastAsia="Calibri"/>
        </w:rPr>
        <w:lastRenderedPageBreak/>
        <w:t xml:space="preserve">and Stepick 1985; but see also Model 1985) theoretically </w:t>
      </w:r>
      <w:r w:rsidR="00626248">
        <w:rPr>
          <w:rFonts w:eastAsia="Calibri"/>
        </w:rPr>
        <w:t>develop</w:t>
      </w:r>
      <w:r w:rsidR="00EF4292">
        <w:rPr>
          <w:rFonts w:eastAsia="Calibri"/>
        </w:rPr>
        <w:t xml:space="preserve">ed </w:t>
      </w:r>
      <w:r w:rsidR="00626248">
        <w:rPr>
          <w:rFonts w:eastAsia="Calibri"/>
        </w:rPr>
        <w:t xml:space="preserve">the concept of ethnic enclave </w:t>
      </w:r>
      <w:r w:rsidR="00EF4292">
        <w:rPr>
          <w:rFonts w:eastAsia="Calibri"/>
        </w:rPr>
        <w:t xml:space="preserve">by </w:t>
      </w:r>
      <w:r>
        <w:rPr>
          <w:rFonts w:eastAsia="Calibri"/>
        </w:rPr>
        <w:t xml:space="preserve">including </w:t>
      </w:r>
      <w:r w:rsidR="00EF4292">
        <w:rPr>
          <w:rFonts w:eastAsia="Calibri"/>
        </w:rPr>
        <w:t xml:space="preserve">immigration </w:t>
      </w:r>
      <w:r>
        <w:rPr>
          <w:rFonts w:eastAsia="Calibri"/>
        </w:rPr>
        <w:t>in addition to ethnicity</w:t>
      </w:r>
      <w:r w:rsidR="00497F6F">
        <w:rPr>
          <w:rFonts w:eastAsia="Calibri"/>
        </w:rPr>
        <w:t xml:space="preserve">.  </w:t>
      </w:r>
      <w:r w:rsidR="00626248" w:rsidRPr="00626248">
        <w:rPr>
          <w:rFonts w:eastAsia="Calibri"/>
        </w:rPr>
        <w:t xml:space="preserve">Portes </w:t>
      </w:r>
      <w:r w:rsidR="00626248">
        <w:rPr>
          <w:rFonts w:eastAsia="Calibri"/>
        </w:rPr>
        <w:t xml:space="preserve">(1981:291) </w:t>
      </w:r>
      <w:r w:rsidR="00626248" w:rsidRPr="00626248">
        <w:rPr>
          <w:rFonts w:eastAsia="Calibri"/>
        </w:rPr>
        <w:t>defined the enclave economy as involving “immigrant groups which concentrate in a distinct spatial location and organize a variety of enterprises serving their own ethnic market and/or the general population. Their basic characteristic is that a significant proportion of the immigrant workforce is employed in enterprises owned by other immigrants</w:t>
      </w:r>
      <w:r w:rsidR="00626248">
        <w:rPr>
          <w:rFonts w:eastAsia="Calibri"/>
        </w:rPr>
        <w:t>.</w:t>
      </w:r>
      <w:r w:rsidR="00626248" w:rsidRPr="00626248">
        <w:rPr>
          <w:rFonts w:eastAsia="Calibri"/>
        </w:rPr>
        <w:t xml:space="preserve">” </w:t>
      </w:r>
      <w:r w:rsidR="00EF4292" w:rsidRPr="00EF4292">
        <w:rPr>
          <w:rFonts w:eastAsia="Calibri"/>
        </w:rPr>
        <w:t>The term ethnic enclave economy has come to stand for the economic advantage of location clustering (Light and Gold 2000)</w:t>
      </w:r>
      <w:r w:rsidR="00EF4292">
        <w:rPr>
          <w:rFonts w:eastAsia="Calibri"/>
        </w:rPr>
        <w:t xml:space="preserve">, including protection </w:t>
      </w:r>
      <w:r w:rsidR="00EF4292" w:rsidRPr="00EF4292">
        <w:rPr>
          <w:rFonts w:eastAsia="Calibri"/>
        </w:rPr>
        <w:t xml:space="preserve">from discrimination (Portes and Bach 1985; Zhou 1992). </w:t>
      </w:r>
      <w:r w:rsidR="00EF4292">
        <w:rPr>
          <w:rFonts w:eastAsia="Calibri"/>
        </w:rPr>
        <w:t xml:space="preserve"> </w:t>
      </w:r>
      <w:r w:rsidR="00EF4292" w:rsidRPr="00EF4292">
        <w:rPr>
          <w:rFonts w:eastAsia="Calibri"/>
        </w:rPr>
        <w:t>As such, ethnic enclave</w:t>
      </w:r>
      <w:r w:rsidR="00EF4292">
        <w:rPr>
          <w:rFonts w:eastAsia="Calibri"/>
        </w:rPr>
        <w:t>s</w:t>
      </w:r>
      <w:r w:rsidR="00EF4292" w:rsidRPr="00EF4292">
        <w:rPr>
          <w:rFonts w:eastAsia="Calibri"/>
        </w:rPr>
        <w:t xml:space="preserve"> </w:t>
      </w:r>
      <w:r w:rsidR="00EF4292">
        <w:rPr>
          <w:rFonts w:eastAsia="Calibri"/>
        </w:rPr>
        <w:t>compensate</w:t>
      </w:r>
      <w:r w:rsidR="00EF4292" w:rsidRPr="00EF4292">
        <w:rPr>
          <w:rFonts w:eastAsia="Calibri"/>
        </w:rPr>
        <w:t xml:space="preserve"> for background deficits and discrimination that ethnic groups encounter in the general labor market. </w:t>
      </w:r>
    </w:p>
    <w:p w14:paraId="58052932" w14:textId="03A955E5" w:rsidR="00FD25FC" w:rsidRDefault="008F495E" w:rsidP="00975DE0">
      <w:pPr>
        <w:spacing w:line="480" w:lineRule="auto"/>
        <w:ind w:firstLine="720"/>
        <w:rPr>
          <w:rFonts w:eastAsia="Calibri"/>
        </w:rPr>
      </w:pPr>
      <w:r w:rsidRPr="008F495E">
        <w:rPr>
          <w:rFonts w:eastAsia="Calibri"/>
        </w:rPr>
        <w:t xml:space="preserve">In contrast, some argue </w:t>
      </w:r>
      <w:r>
        <w:rPr>
          <w:rFonts w:eastAsia="Calibri"/>
        </w:rPr>
        <w:t xml:space="preserve">against the protective features of </w:t>
      </w:r>
      <w:r w:rsidRPr="008F495E">
        <w:rPr>
          <w:rFonts w:eastAsia="Calibri"/>
        </w:rPr>
        <w:t>ethnic enclaves</w:t>
      </w:r>
      <w:r>
        <w:rPr>
          <w:rFonts w:eastAsia="Calibri"/>
        </w:rPr>
        <w:t xml:space="preserve">.  In particular, ethnic enclaves </w:t>
      </w:r>
      <w:r w:rsidRPr="008F495E">
        <w:rPr>
          <w:rFonts w:eastAsia="Calibri"/>
        </w:rPr>
        <w:t xml:space="preserve">are </w:t>
      </w:r>
      <w:r w:rsidR="002D2B3A">
        <w:rPr>
          <w:rFonts w:eastAsia="Calibri"/>
        </w:rPr>
        <w:t xml:space="preserve">found </w:t>
      </w:r>
      <w:r w:rsidRPr="008F495E">
        <w:rPr>
          <w:rFonts w:eastAsia="Calibri"/>
        </w:rPr>
        <w:t xml:space="preserve">to </w:t>
      </w:r>
      <w:r w:rsidR="008755D9">
        <w:rPr>
          <w:rFonts w:eastAsia="Calibri"/>
        </w:rPr>
        <w:t xml:space="preserve">detrimental labor market conditions (e.g. </w:t>
      </w:r>
      <w:r w:rsidRPr="008F495E">
        <w:rPr>
          <w:rFonts w:eastAsia="Calibri"/>
        </w:rPr>
        <w:t>Sanders and Nee</w:t>
      </w:r>
      <w:r w:rsidR="00A24DDB">
        <w:rPr>
          <w:rFonts w:eastAsia="Calibri"/>
        </w:rPr>
        <w:t>,</w:t>
      </w:r>
      <w:r w:rsidRPr="008F495E">
        <w:rPr>
          <w:rFonts w:eastAsia="Calibri"/>
        </w:rPr>
        <w:t xml:space="preserve"> 1987</w:t>
      </w:r>
      <w:r>
        <w:rPr>
          <w:rFonts w:eastAsia="Calibri"/>
        </w:rPr>
        <w:t>Chin, 2005</w:t>
      </w:r>
      <w:r w:rsidRPr="008F495E">
        <w:rPr>
          <w:rFonts w:eastAsia="Calibri"/>
        </w:rPr>
        <w:t>Schrover 2001 Sanders and Nee</w:t>
      </w:r>
      <w:r w:rsidR="008755D9">
        <w:rPr>
          <w:rFonts w:eastAsia="Calibri"/>
        </w:rPr>
        <w:t>,</w:t>
      </w:r>
      <w:r w:rsidRPr="008F495E">
        <w:rPr>
          <w:rFonts w:eastAsia="Calibri"/>
        </w:rPr>
        <w:t xml:space="preserve"> 1987)</w:t>
      </w:r>
      <w:r w:rsidR="008755D9">
        <w:rPr>
          <w:rFonts w:eastAsia="Calibri"/>
        </w:rPr>
        <w:t xml:space="preserve">.  </w:t>
      </w:r>
      <w:r w:rsidR="00D24BE4">
        <w:rPr>
          <w:rFonts w:eastAsia="Calibri"/>
        </w:rPr>
        <w:t xml:space="preserve">In the case of Mexicans and Central Americans, rather than an ethnic controlled economy where workers can exert power (Light and Gold, 2000), co-ethnic concentrated jobsites are associated with inequality found in segregated employment (Morales, 2009).  </w:t>
      </w:r>
      <w:r w:rsidR="00F60125">
        <w:rPr>
          <w:rFonts w:eastAsia="Calibri"/>
        </w:rPr>
        <w:t xml:space="preserve">Thus, </w:t>
      </w:r>
      <w:r w:rsidR="00D24BE4">
        <w:rPr>
          <w:rFonts w:eastAsia="Calibri"/>
        </w:rPr>
        <w:t xml:space="preserve">there is also strong evidence that </w:t>
      </w:r>
      <w:r w:rsidR="00F60125">
        <w:rPr>
          <w:rFonts w:eastAsia="Calibri"/>
        </w:rPr>
        <w:t xml:space="preserve">group clustering of immigrants and ethnic minorities </w:t>
      </w:r>
      <w:r w:rsidR="00497F6F">
        <w:rPr>
          <w:rFonts w:eastAsia="Calibri"/>
        </w:rPr>
        <w:t xml:space="preserve">is </w:t>
      </w:r>
      <w:r w:rsidR="00F60125">
        <w:rPr>
          <w:rFonts w:eastAsia="Calibri"/>
        </w:rPr>
        <w:t xml:space="preserve">associated with the negative features of segregation and concentrated neighborhood disadvantage.  </w:t>
      </w:r>
    </w:p>
    <w:p w14:paraId="080CA37C" w14:textId="5C039E76" w:rsidR="00313122" w:rsidRDefault="0023396E" w:rsidP="00975DE0">
      <w:pPr>
        <w:spacing w:line="480" w:lineRule="auto"/>
        <w:ind w:firstLine="720"/>
      </w:pPr>
      <w:r>
        <w:rPr>
          <w:rFonts w:eastAsia="Calibri"/>
        </w:rPr>
        <w:t xml:space="preserve">Even though ethnic enclaves have come to be more widely understood as </w:t>
      </w:r>
      <w:r w:rsidR="00497F6F">
        <w:t xml:space="preserve">immigrant clusters in </w:t>
      </w:r>
      <w:r>
        <w:t>neighborhoods w</w:t>
      </w:r>
      <w:r w:rsidR="009149F3">
        <w:t>ithin urban centers (Waldinger and</w:t>
      </w:r>
      <w:r>
        <w:t xml:space="preserve"> Bozorgmehr</w:t>
      </w:r>
      <w:r w:rsidR="009149F3">
        <w:t>,</w:t>
      </w:r>
      <w:r>
        <w:t xml:space="preserve"> 1996), most</w:t>
      </w:r>
      <w:r w:rsidR="003E660D">
        <w:rPr>
          <w:rFonts w:eastAsia="Calibri"/>
        </w:rPr>
        <w:t xml:space="preserve"> of the scholarly attention on e</w:t>
      </w:r>
      <w:r w:rsidR="00FD2779">
        <w:t xml:space="preserve">thnic enclaves </w:t>
      </w:r>
      <w:r w:rsidR="003E660D">
        <w:t>has focused on economic outcomes</w:t>
      </w:r>
      <w:r w:rsidR="00DE13BC">
        <w:t xml:space="preserve"> </w:t>
      </w:r>
      <w:r w:rsidR="002633B7">
        <w:t xml:space="preserve">with limited </w:t>
      </w:r>
      <w:r w:rsidR="00DE13BC">
        <w:t xml:space="preserve">attention to how residing in an enclave </w:t>
      </w:r>
      <w:r w:rsidR="002633B7">
        <w:t xml:space="preserve">can influence interactions with law enforcement.  </w:t>
      </w:r>
      <w:r w:rsidR="009D7976">
        <w:t xml:space="preserve">Yet, there are indications that </w:t>
      </w:r>
      <w:r w:rsidR="00073632">
        <w:t xml:space="preserve">Latino </w:t>
      </w:r>
      <w:r w:rsidR="00B75D6C" w:rsidRPr="00B75D6C">
        <w:t>and immigrant neighborhoods</w:t>
      </w:r>
      <w:r w:rsidR="00FD2779">
        <w:t xml:space="preserve"> </w:t>
      </w:r>
      <w:r w:rsidR="009D7976">
        <w:t xml:space="preserve">are </w:t>
      </w:r>
      <w:r w:rsidR="00FD2779">
        <w:t xml:space="preserve">targeted for </w:t>
      </w:r>
      <w:r w:rsidR="003E660D">
        <w:t xml:space="preserve">the </w:t>
      </w:r>
      <w:r w:rsidR="00FD2779">
        <w:t xml:space="preserve">presumed illegality </w:t>
      </w:r>
      <w:r w:rsidR="00300E5E">
        <w:t xml:space="preserve">of </w:t>
      </w:r>
      <w:r w:rsidR="00300E5E">
        <w:lastRenderedPageBreak/>
        <w:t xml:space="preserve">its residents.  </w:t>
      </w:r>
      <w:r w:rsidR="00023604">
        <w:t>Most notabl</w:t>
      </w:r>
      <w:r w:rsidR="0023656F">
        <w:t>e</w:t>
      </w:r>
      <w:r w:rsidR="00023604">
        <w:t xml:space="preserve"> </w:t>
      </w:r>
      <w:r w:rsidR="00497F6F">
        <w:t xml:space="preserve">is Romero (2006) who found </w:t>
      </w:r>
      <w:r w:rsidR="00023604">
        <w:t xml:space="preserve">the Chandler Roundups </w:t>
      </w:r>
      <w:r w:rsidR="00300E5E">
        <w:t xml:space="preserve">in Arizona </w:t>
      </w:r>
      <w:r w:rsidR="00023604">
        <w:t>or “Operation Restoration” where the Chandler Police Department in Maricopa County in Arizona target residents for their “Mexicanness,” speaking Spanish, and being in a Latin</w:t>
      </w:r>
      <w:r w:rsidR="003E660D">
        <w:t>a/</w:t>
      </w:r>
      <w:r w:rsidR="00023604">
        <w:t>o neighborhood</w:t>
      </w:r>
      <w:r w:rsidR="00497F6F">
        <w:t xml:space="preserve">.  </w:t>
      </w:r>
      <w:r w:rsidR="00023604">
        <w:t xml:space="preserve">  </w:t>
      </w:r>
    </w:p>
    <w:p w14:paraId="697B642B" w14:textId="44AA213E" w:rsidR="00D43DB3" w:rsidRDefault="00EC62E3" w:rsidP="0022775C">
      <w:pPr>
        <w:spacing w:line="480" w:lineRule="auto"/>
        <w:rPr>
          <w:rFonts w:eastAsia="Calibri"/>
        </w:rPr>
      </w:pPr>
      <w:r>
        <w:rPr>
          <w:rFonts w:eastAsia="Calibri"/>
        </w:rPr>
        <w:tab/>
      </w:r>
      <w:r w:rsidR="00D74844">
        <w:rPr>
          <w:rFonts w:eastAsia="Calibri"/>
        </w:rPr>
        <w:t>In sum, w</w:t>
      </w:r>
      <w:r w:rsidR="00497F6F">
        <w:rPr>
          <w:rFonts w:eastAsia="Calibri"/>
        </w:rPr>
        <w:t xml:space="preserve">hile there is limited attention to ethnic and immigrant neighborhoods and whether residents are more likely to be questioned by law enforcement about their citizenship status, we can draw some important insights from the literature above.  </w:t>
      </w:r>
      <w:r w:rsidR="00D74844" w:rsidRPr="008077AF">
        <w:rPr>
          <w:rFonts w:eastAsia="Calibri"/>
        </w:rPr>
        <w:t>First, the influence of residing in poor neighborhoods on policing has largely focused on the experiences of urban Blacks who are subjected to a range of negative effects associated with a disproportionate criminalization.</w:t>
      </w:r>
      <w:r w:rsidR="00D74844">
        <w:rPr>
          <w:rFonts w:eastAsia="Calibri"/>
        </w:rPr>
        <w:t xml:space="preserve">  </w:t>
      </w:r>
      <w:r w:rsidR="00D43DB3">
        <w:rPr>
          <w:rFonts w:eastAsia="Calibri"/>
        </w:rPr>
        <w:t xml:space="preserve">Second, </w:t>
      </w:r>
      <w:r w:rsidR="00497F6F">
        <w:rPr>
          <w:rFonts w:eastAsia="Calibri"/>
        </w:rPr>
        <w:t xml:space="preserve">there is mixed evidence for whether ethnic and immigrant neighborhoods are associated with disadvantages or </w:t>
      </w:r>
      <w:r w:rsidR="00A978FF">
        <w:rPr>
          <w:rFonts w:eastAsia="Calibri"/>
        </w:rPr>
        <w:t xml:space="preserve">social </w:t>
      </w:r>
      <w:r w:rsidR="00497F6F">
        <w:rPr>
          <w:rFonts w:eastAsia="Calibri"/>
        </w:rPr>
        <w:t>protections</w:t>
      </w:r>
      <w:r w:rsidR="00A978FF">
        <w:rPr>
          <w:rFonts w:eastAsia="Calibri"/>
        </w:rPr>
        <w:t xml:space="preserve">.  </w:t>
      </w:r>
      <w:r w:rsidR="00D74844">
        <w:rPr>
          <w:rFonts w:eastAsia="Calibri"/>
        </w:rPr>
        <w:t>Third, there is some evidence that the local policing of immigration is associated with excessive surveillance of Latina/o and immigrant neighborhoods (Romero, 2006)</w:t>
      </w:r>
      <w:r w:rsidR="00D67918">
        <w:rPr>
          <w:rFonts w:eastAsia="Calibri"/>
        </w:rPr>
        <w:t xml:space="preserve">.  </w:t>
      </w:r>
    </w:p>
    <w:p w14:paraId="48D75731" w14:textId="3B071BF5" w:rsidR="006D278C" w:rsidRPr="0022775C" w:rsidRDefault="00D43DB3" w:rsidP="0022775C">
      <w:pPr>
        <w:spacing w:line="480" w:lineRule="auto"/>
        <w:rPr>
          <w:rFonts w:eastAsia="Calibri"/>
        </w:rPr>
      </w:pPr>
      <w:r>
        <w:rPr>
          <w:rFonts w:eastAsia="Calibri"/>
        </w:rPr>
        <w:t>D</w:t>
      </w:r>
      <w:r w:rsidR="0022775C" w:rsidRPr="0022775C">
        <w:rPr>
          <w:rFonts w:eastAsia="Calibri"/>
        </w:rPr>
        <w:t xml:space="preserve">ATA AND METHODS </w:t>
      </w:r>
    </w:p>
    <w:p w14:paraId="61D95264" w14:textId="3F714E83" w:rsidR="00ED5ED6" w:rsidRPr="00ED5ED6" w:rsidRDefault="00ED5ED6" w:rsidP="00ED5ED6">
      <w:pPr>
        <w:spacing w:line="480" w:lineRule="auto"/>
        <w:rPr>
          <w:u w:val="single"/>
        </w:rPr>
      </w:pPr>
      <w:r>
        <w:rPr>
          <w:u w:val="single"/>
        </w:rPr>
        <w:t>Sampling</w:t>
      </w:r>
      <w:r w:rsidRPr="00ED5ED6">
        <w:rPr>
          <w:u w:val="single"/>
        </w:rPr>
        <w:t xml:space="preserve"> </w:t>
      </w:r>
    </w:p>
    <w:p w14:paraId="4E8B28B5" w14:textId="703E9F79" w:rsidR="00D76D36" w:rsidRDefault="00ED5ED6" w:rsidP="000C3782">
      <w:pPr>
        <w:spacing w:line="480" w:lineRule="auto"/>
        <w:ind w:firstLine="720"/>
      </w:pPr>
      <w:r>
        <w:t xml:space="preserve">This study is based on </w:t>
      </w:r>
      <w:r w:rsidR="009A6603">
        <w:t xml:space="preserve">primary data consisting of </w:t>
      </w:r>
      <w:r w:rsidRPr="004F66C7">
        <w:t>46 neighborhood cluster</w:t>
      </w:r>
      <w:r>
        <w:t>s</w:t>
      </w:r>
      <w:r w:rsidRPr="004F66C7">
        <w:t xml:space="preserve"> and </w:t>
      </w:r>
      <w:r>
        <w:t>677</w:t>
      </w:r>
      <w:r w:rsidRPr="004F66C7">
        <w:t xml:space="preserve"> individual</w:t>
      </w:r>
      <w:r>
        <w:t xml:space="preserve"> survey</w:t>
      </w:r>
      <w:r w:rsidR="009A6603">
        <w:t>s</w:t>
      </w:r>
      <w:r>
        <w:t xml:space="preserve">.  </w:t>
      </w:r>
      <w:r w:rsidR="009A6603">
        <w:t xml:space="preserve">Our sampling design follows </w:t>
      </w:r>
      <w:r w:rsidRPr="00767873">
        <w:t xml:space="preserve">Robert Sampson’s </w:t>
      </w:r>
      <w:r>
        <w:t xml:space="preserve">and associates (1997) </w:t>
      </w:r>
      <w:r w:rsidRPr="00767873">
        <w:t>Community Survey Component</w:t>
      </w:r>
      <w:r>
        <w:t xml:space="preserve"> of the </w:t>
      </w:r>
      <w:r w:rsidR="00D76D36" w:rsidRPr="00767873">
        <w:rPr>
          <w:i/>
        </w:rPr>
        <w:t xml:space="preserve">Project on Human Development for Chicago Neighborhoods </w:t>
      </w:r>
      <w:r w:rsidR="00D76D36" w:rsidRPr="00767873">
        <w:t>(PHDCN</w:t>
      </w:r>
      <w:r w:rsidR="00D76D36" w:rsidRPr="00767873">
        <w:rPr>
          <w:i/>
        </w:rPr>
        <w:t>)</w:t>
      </w:r>
      <w:r w:rsidR="00D76D36" w:rsidRPr="00767873">
        <w:t xml:space="preserve"> dataset</w:t>
      </w:r>
      <w:r>
        <w:t xml:space="preserve">.  </w:t>
      </w:r>
      <w:r w:rsidR="008D5517">
        <w:t xml:space="preserve">We </w:t>
      </w:r>
      <w:r w:rsidR="009A6603">
        <w:t xml:space="preserve">operationalize </w:t>
      </w:r>
      <w:r w:rsidR="00D76D36" w:rsidRPr="00767873">
        <w:t xml:space="preserve">neighborhoods </w:t>
      </w:r>
      <w:r w:rsidR="009A6603">
        <w:t xml:space="preserve">by </w:t>
      </w:r>
      <w:r w:rsidR="00D76D36" w:rsidRPr="00767873">
        <w:t>aggregating census tracts that were similar in terms of geographic information (such as interstates, roads, and other landmarks)</w:t>
      </w:r>
      <w:r w:rsidR="009A6603">
        <w:t xml:space="preserve">, demographic and economic </w:t>
      </w:r>
      <w:r w:rsidR="00D76D36" w:rsidRPr="00767873">
        <w:t xml:space="preserve">indicators </w:t>
      </w:r>
      <w:r w:rsidR="009A6603">
        <w:t xml:space="preserve">from the American Community Survey </w:t>
      </w:r>
      <w:r w:rsidR="009D2ED7">
        <w:t xml:space="preserve">(ACS) </w:t>
      </w:r>
      <w:r w:rsidR="009A6603">
        <w:t xml:space="preserve">(2015) </w:t>
      </w:r>
      <w:r w:rsidR="009D2ED7">
        <w:t xml:space="preserve">5-year (2008-2012) </w:t>
      </w:r>
      <w:r w:rsidR="009A6603">
        <w:t xml:space="preserve">census tract </w:t>
      </w:r>
      <w:r w:rsidR="009D2ED7">
        <w:t xml:space="preserve">data on </w:t>
      </w:r>
      <w:r w:rsidR="009A6603">
        <w:t xml:space="preserve">economic, </w:t>
      </w:r>
      <w:r w:rsidR="00D76D36" w:rsidRPr="00767873">
        <w:t>foreign</w:t>
      </w:r>
      <w:r w:rsidR="009A6603">
        <w:t>-</w:t>
      </w:r>
      <w:r w:rsidR="00D76D36" w:rsidRPr="00767873">
        <w:t>born</w:t>
      </w:r>
      <w:r w:rsidR="009A6603">
        <w:t>, language,</w:t>
      </w:r>
      <w:r w:rsidR="00D76D36" w:rsidRPr="00767873">
        <w:t xml:space="preserve"> and Latin</w:t>
      </w:r>
      <w:r w:rsidR="009A6603">
        <w:t>a/</w:t>
      </w:r>
      <w:r w:rsidR="00D76D36" w:rsidRPr="00767873">
        <w:t>o</w:t>
      </w:r>
      <w:r w:rsidR="009A6603">
        <w:t xml:space="preserve">, and a rapid ethnographic assessment where we gain information from the streets about </w:t>
      </w:r>
      <w:r w:rsidR="009A6603">
        <w:lastRenderedPageBreak/>
        <w:t>whether the census tracts should be considered stand-alone neighborhoods or joined with neighboring census tracts</w:t>
      </w:r>
      <w:r w:rsidR="00D76D36" w:rsidRPr="00767873">
        <w:t>.</w:t>
      </w:r>
      <w:r w:rsidR="004E30F9">
        <w:t xml:space="preserve"> </w:t>
      </w:r>
      <w:r w:rsidR="0023764D">
        <w:t>We then randomly selected neighborhood</w:t>
      </w:r>
      <w:r w:rsidR="004E30F9">
        <w:t xml:space="preserve"> clusters and randomly selected </w:t>
      </w:r>
      <w:r w:rsidR="00263A82">
        <w:t xml:space="preserve">20 </w:t>
      </w:r>
      <w:r w:rsidR="004E30F9">
        <w:t xml:space="preserve">households within each neighborhood.  </w:t>
      </w:r>
      <w:r w:rsidR="0023764D">
        <w:t xml:space="preserve"> </w:t>
      </w:r>
    </w:p>
    <w:p w14:paraId="03F31991" w14:textId="4DD96A2B" w:rsidR="000C3782" w:rsidRDefault="007F1DDD" w:rsidP="000C3782">
      <w:pPr>
        <w:spacing w:line="480" w:lineRule="auto"/>
        <w:ind w:firstLine="720"/>
        <w:rPr>
          <w:rFonts w:eastAsia="Calibri"/>
        </w:rPr>
      </w:pPr>
      <w:r w:rsidRPr="00047719">
        <w:rPr>
          <w:rFonts w:eastAsia="Calibri"/>
        </w:rPr>
        <w:t xml:space="preserve">Data was collected between March and August of 2014 in El Paso, Texas.  </w:t>
      </w:r>
      <w:r w:rsidR="000C3782" w:rsidRPr="00047719">
        <w:rPr>
          <w:rFonts w:eastAsia="Calibri"/>
        </w:rPr>
        <w:t>Once selected at random, we</w:t>
      </w:r>
      <w:r w:rsidR="004E30F9">
        <w:rPr>
          <w:rFonts w:eastAsia="Calibri"/>
        </w:rPr>
        <w:t xml:space="preserve"> </w:t>
      </w:r>
      <w:r w:rsidR="000C3782" w:rsidRPr="00047719">
        <w:rPr>
          <w:rFonts w:eastAsia="Calibri"/>
        </w:rPr>
        <w:t xml:space="preserve">mailed a letter notifying respondents that their household </w:t>
      </w:r>
      <w:r w:rsidR="00047719" w:rsidRPr="00047719">
        <w:rPr>
          <w:rFonts w:eastAsia="Calibri"/>
        </w:rPr>
        <w:t xml:space="preserve">had been </w:t>
      </w:r>
      <w:r w:rsidR="000C3782" w:rsidRPr="00047719">
        <w:rPr>
          <w:rFonts w:eastAsia="Calibri"/>
        </w:rPr>
        <w:t xml:space="preserve">randomly selected to participate in the study and </w:t>
      </w:r>
      <w:r w:rsidR="004E30F9">
        <w:rPr>
          <w:rFonts w:eastAsia="Calibri"/>
        </w:rPr>
        <w:t xml:space="preserve">asked </w:t>
      </w:r>
      <w:r w:rsidR="000C3782" w:rsidRPr="00047719">
        <w:rPr>
          <w:rFonts w:eastAsia="Calibri"/>
        </w:rPr>
        <w:t>if they volunteer to participate</w:t>
      </w:r>
      <w:r w:rsidR="004E30F9">
        <w:rPr>
          <w:rFonts w:eastAsia="Calibri"/>
        </w:rPr>
        <w:t xml:space="preserve">.  Respondents were given the option to either </w:t>
      </w:r>
      <w:r w:rsidR="000C3782" w:rsidRPr="00047719">
        <w:rPr>
          <w:rFonts w:eastAsia="Calibri"/>
        </w:rPr>
        <w:t xml:space="preserve">call and schedule an appointment or a research assistant will show up </w:t>
      </w:r>
      <w:r w:rsidR="00047719" w:rsidRPr="00047719">
        <w:rPr>
          <w:rFonts w:eastAsia="Calibri"/>
        </w:rPr>
        <w:t xml:space="preserve">to their household </w:t>
      </w:r>
      <w:r w:rsidR="000C3782" w:rsidRPr="00047719">
        <w:rPr>
          <w:rFonts w:eastAsia="Calibri"/>
        </w:rPr>
        <w:t xml:space="preserve">in 3-4 days to conduct the interview or schedule an appointment.  </w:t>
      </w:r>
      <w:r w:rsidR="004E30F9">
        <w:rPr>
          <w:rFonts w:eastAsia="Calibri"/>
        </w:rPr>
        <w:t xml:space="preserve">Respondents were paid $20.00 for participating in the study.  </w:t>
      </w:r>
    </w:p>
    <w:p w14:paraId="499E129B" w14:textId="18668204" w:rsidR="00263A82" w:rsidRPr="00263A82" w:rsidRDefault="00263A82" w:rsidP="00263A82">
      <w:pPr>
        <w:spacing w:line="480" w:lineRule="auto"/>
        <w:rPr>
          <w:rFonts w:eastAsia="Calibri"/>
          <w:u w:val="single"/>
        </w:rPr>
      </w:pPr>
      <w:r w:rsidRPr="00263A82">
        <w:rPr>
          <w:rFonts w:eastAsia="Calibri"/>
          <w:u w:val="single"/>
        </w:rPr>
        <w:t>Context</w:t>
      </w:r>
    </w:p>
    <w:p w14:paraId="04E0CDF2" w14:textId="64374CF7" w:rsidR="00B427A5" w:rsidRDefault="00263A82" w:rsidP="000E0B34">
      <w:pPr>
        <w:spacing w:line="480" w:lineRule="auto"/>
        <w:ind w:firstLine="720"/>
        <w:rPr>
          <w:rFonts w:eastAsia="Calibri"/>
        </w:rPr>
      </w:pPr>
      <w:r>
        <w:rPr>
          <w:rFonts w:eastAsia="Calibri"/>
        </w:rPr>
        <w:t xml:space="preserve">This study is based on </w:t>
      </w:r>
      <w:r w:rsidR="007F1DDD" w:rsidRPr="00047719">
        <w:rPr>
          <w:rFonts w:eastAsia="Calibri"/>
        </w:rPr>
        <w:t>El Paso</w:t>
      </w:r>
      <w:r w:rsidR="000E0B34">
        <w:rPr>
          <w:rFonts w:eastAsia="Calibri"/>
        </w:rPr>
        <w:t>, Texas</w:t>
      </w:r>
      <w:r w:rsidR="00CA452B">
        <w:rPr>
          <w:rFonts w:eastAsia="Calibri"/>
        </w:rPr>
        <w:t xml:space="preserve"> that is located along the U.S.-Mexico border and is the sister city of Cuidad Juárez, Chihuahua, México.  </w:t>
      </w:r>
      <w:r>
        <w:rPr>
          <w:rFonts w:eastAsia="Calibri"/>
        </w:rPr>
        <w:t>El Paso represents an i</w:t>
      </w:r>
      <w:r w:rsidR="007F1DDD" w:rsidRPr="00047719">
        <w:rPr>
          <w:rFonts w:eastAsia="Calibri"/>
        </w:rPr>
        <w:t xml:space="preserve">deal site to conduct a study on perceptions of citizenship illegality given that </w:t>
      </w:r>
      <w:r w:rsidR="000E0B34">
        <w:rPr>
          <w:rFonts w:eastAsia="Calibri"/>
        </w:rPr>
        <w:t xml:space="preserve">according to the U.S. Census </w:t>
      </w:r>
      <w:r>
        <w:rPr>
          <w:rFonts w:eastAsia="Calibri"/>
        </w:rPr>
        <w:t xml:space="preserve">estimates </w:t>
      </w:r>
      <w:r w:rsidR="00EC2F4A">
        <w:rPr>
          <w:rFonts w:eastAsia="Calibri"/>
        </w:rPr>
        <w:t xml:space="preserve">25.5 </w:t>
      </w:r>
      <w:r w:rsidR="007F1DDD" w:rsidRPr="00047719">
        <w:rPr>
          <w:rFonts w:eastAsia="Calibri"/>
        </w:rPr>
        <w:t xml:space="preserve">percent </w:t>
      </w:r>
      <w:r w:rsidR="00047719" w:rsidRPr="00047719">
        <w:rPr>
          <w:rFonts w:eastAsia="Calibri"/>
        </w:rPr>
        <w:t xml:space="preserve">of the population is </w:t>
      </w:r>
      <w:r w:rsidR="007F1DDD" w:rsidRPr="00047719">
        <w:rPr>
          <w:rFonts w:eastAsia="Calibri"/>
        </w:rPr>
        <w:t>foreign-born</w:t>
      </w:r>
      <w:r w:rsidR="00047719" w:rsidRPr="00047719">
        <w:rPr>
          <w:rFonts w:eastAsia="Calibri"/>
        </w:rPr>
        <w:t xml:space="preserve"> and </w:t>
      </w:r>
      <w:r w:rsidR="00B632ED">
        <w:rPr>
          <w:rFonts w:eastAsia="Calibri"/>
        </w:rPr>
        <w:t>82.2 p</w:t>
      </w:r>
      <w:r w:rsidR="00047719" w:rsidRPr="00047719">
        <w:rPr>
          <w:rFonts w:eastAsia="Calibri"/>
        </w:rPr>
        <w:t xml:space="preserve">ercent </w:t>
      </w:r>
      <w:r w:rsidR="007F1DDD" w:rsidRPr="00047719">
        <w:rPr>
          <w:rFonts w:eastAsia="Calibri"/>
        </w:rPr>
        <w:t>Latina/o</w:t>
      </w:r>
      <w:r w:rsidR="00B632ED">
        <w:rPr>
          <w:rFonts w:eastAsia="Calibri"/>
        </w:rPr>
        <w:t xml:space="preserve"> </w:t>
      </w:r>
      <w:r w:rsidR="00CA452B">
        <w:rPr>
          <w:rFonts w:eastAsia="Calibri"/>
        </w:rPr>
        <w:t>(</w:t>
      </w:r>
      <w:r w:rsidR="00B632ED">
        <w:rPr>
          <w:rFonts w:eastAsia="Calibri"/>
        </w:rPr>
        <w:t>of which 76.6 percent is Mexican-origin</w:t>
      </w:r>
      <w:r w:rsidR="00CA452B">
        <w:rPr>
          <w:rFonts w:eastAsia="Calibri"/>
        </w:rPr>
        <w:t>)</w:t>
      </w:r>
      <w:r w:rsidR="00047719" w:rsidRPr="00047719">
        <w:rPr>
          <w:rFonts w:eastAsia="Calibri"/>
        </w:rPr>
        <w:t xml:space="preserve">.  Moreover, </w:t>
      </w:r>
      <w:r w:rsidR="007F1DDD" w:rsidRPr="00047719">
        <w:rPr>
          <w:rFonts w:eastAsia="Calibri"/>
        </w:rPr>
        <w:t>consistent with the Latina/o Immigrant Crime Paradox</w:t>
      </w:r>
      <w:r w:rsidR="00047719" w:rsidRPr="00047719">
        <w:rPr>
          <w:rFonts w:eastAsia="Calibri"/>
        </w:rPr>
        <w:t>, El Paso</w:t>
      </w:r>
      <w:r w:rsidR="007F1DDD" w:rsidRPr="00047719">
        <w:rPr>
          <w:rFonts w:eastAsia="Calibri"/>
        </w:rPr>
        <w:t xml:space="preserve"> has been ranked as the safest </w:t>
      </w:r>
      <w:r w:rsidR="00047719" w:rsidRPr="00047719">
        <w:rPr>
          <w:rFonts w:eastAsia="Calibri"/>
        </w:rPr>
        <w:t xml:space="preserve">or among the safest </w:t>
      </w:r>
      <w:r w:rsidR="007F1DDD" w:rsidRPr="00047719">
        <w:rPr>
          <w:rFonts w:eastAsia="Calibri"/>
        </w:rPr>
        <w:t xml:space="preserve">metropolitan statistical area in the </w:t>
      </w:r>
      <w:r w:rsidR="00545EAC">
        <w:rPr>
          <w:rFonts w:eastAsia="Calibri"/>
        </w:rPr>
        <w:t xml:space="preserve">U.S. </w:t>
      </w:r>
      <w:r w:rsidR="00047719" w:rsidRPr="00047719">
        <w:rPr>
          <w:rFonts w:eastAsia="Calibri"/>
        </w:rPr>
        <w:t>for the last ten years (</w:t>
      </w:r>
      <w:r w:rsidR="00766C5A">
        <w:rPr>
          <w:rFonts w:eastAsia="Calibri"/>
        </w:rPr>
        <w:t>Borunda, 2013</w:t>
      </w:r>
      <w:r w:rsidR="00047719" w:rsidRPr="00766C5A">
        <w:rPr>
          <w:rFonts w:eastAsia="Calibri"/>
        </w:rPr>
        <w:t>)</w:t>
      </w:r>
      <w:r w:rsidR="000C3782" w:rsidRPr="00047719">
        <w:rPr>
          <w:rFonts w:eastAsia="Calibri"/>
        </w:rPr>
        <w:t xml:space="preserve">.  </w:t>
      </w:r>
    </w:p>
    <w:p w14:paraId="38907CF1" w14:textId="34634FCF" w:rsidR="00CA452B" w:rsidRDefault="00CA452B" w:rsidP="000E0B34">
      <w:pPr>
        <w:spacing w:line="480" w:lineRule="auto"/>
        <w:ind w:firstLine="720"/>
        <w:rPr>
          <w:rFonts w:eastAsia="Calibri"/>
        </w:rPr>
      </w:pPr>
      <w:r>
        <w:rPr>
          <w:rFonts w:eastAsia="Calibri"/>
        </w:rPr>
        <w:t xml:space="preserve">As a border city, El Paso is also subjected to hyper-surveillance policing measures.  In this region, residents have frequent encounters with federal law enforcement agents, in particular border patrol.  Indeed, El Paso has been characterized as </w:t>
      </w:r>
      <w:r w:rsidRPr="00C66595">
        <w:rPr>
          <w:lang w:val="en-GB"/>
        </w:rPr>
        <w:t xml:space="preserve">militarization </w:t>
      </w:r>
      <w:r>
        <w:rPr>
          <w:rFonts w:eastAsia="Calibri"/>
        </w:rPr>
        <w:t xml:space="preserve">region </w:t>
      </w:r>
      <w:r w:rsidRPr="00295502">
        <w:rPr>
          <w:rFonts w:eastAsia="Calibri"/>
        </w:rPr>
        <w:t xml:space="preserve">given the use of war-like discourse, technology, and even the use of military personnel </w:t>
      </w:r>
      <w:r>
        <w:rPr>
          <w:rFonts w:eastAsia="Calibri"/>
        </w:rPr>
        <w:t xml:space="preserve">as part of border control initiatives </w:t>
      </w:r>
      <w:r w:rsidRPr="00295502">
        <w:rPr>
          <w:rFonts w:eastAsia="Calibri"/>
        </w:rPr>
        <w:t>(Bejarano et al</w:t>
      </w:r>
      <w:r>
        <w:rPr>
          <w:rFonts w:eastAsia="Calibri"/>
        </w:rPr>
        <w:t>., 2012</w:t>
      </w:r>
      <w:r w:rsidRPr="00295502">
        <w:rPr>
          <w:rFonts w:eastAsia="Calibri"/>
        </w:rPr>
        <w:t xml:space="preserve">).  </w:t>
      </w:r>
      <w:r w:rsidRPr="000878D0">
        <w:rPr>
          <w:rFonts w:eastAsia="Calibri"/>
        </w:rPr>
        <w:t xml:space="preserve">Today, such legal and administrative </w:t>
      </w:r>
      <w:r>
        <w:rPr>
          <w:rFonts w:eastAsia="Calibri"/>
        </w:rPr>
        <w:t xml:space="preserve">polices </w:t>
      </w:r>
      <w:r w:rsidRPr="000878D0">
        <w:rPr>
          <w:rFonts w:eastAsia="Calibri"/>
        </w:rPr>
        <w:t xml:space="preserve">that focus on national security measures and increase surveillance have extended to the interior of the nation </w:t>
      </w:r>
      <w:r w:rsidRPr="000878D0">
        <w:rPr>
          <w:rFonts w:eastAsia="Calibri"/>
        </w:rPr>
        <w:lastRenderedPageBreak/>
        <w:t>(</w:t>
      </w:r>
      <w:r>
        <w:t xml:space="preserve">Coleman 2007; De Genova and Peutz 2010; </w:t>
      </w:r>
      <w:r w:rsidR="00D266DC">
        <w:t xml:space="preserve">Provine and Sanchez, 2011; </w:t>
      </w:r>
      <w:r>
        <w:t>Salter 2004; Guiraudon and Lahav 2000</w:t>
      </w:r>
      <w:r w:rsidRPr="000878D0">
        <w:rPr>
          <w:rFonts w:eastAsia="Calibri"/>
        </w:rPr>
        <w:t>)</w:t>
      </w:r>
      <w:r>
        <w:rPr>
          <w:rFonts w:eastAsia="Calibri"/>
        </w:rPr>
        <w:t>, making the border region an important site to investigate how increase law enforcement profiles an undocumented immigrant.</w:t>
      </w:r>
    </w:p>
    <w:p w14:paraId="1BE767F3" w14:textId="2035912E" w:rsidR="00766C5A" w:rsidRDefault="000C3782" w:rsidP="000E0B34">
      <w:pPr>
        <w:spacing w:line="480" w:lineRule="auto"/>
        <w:ind w:firstLine="720"/>
        <w:rPr>
          <w:rFonts w:eastAsia="Calibri"/>
        </w:rPr>
      </w:pPr>
      <w:r w:rsidRPr="00047719">
        <w:rPr>
          <w:rFonts w:eastAsia="Calibri"/>
        </w:rPr>
        <w:t xml:space="preserve">El Paso also has no 287 (g) agreements but did practice Secure Communities, now </w:t>
      </w:r>
      <w:r w:rsidR="000E0B34" w:rsidRPr="00766C5A">
        <w:rPr>
          <w:rFonts w:eastAsia="Calibri"/>
        </w:rPr>
        <w:t>P</w:t>
      </w:r>
      <w:r w:rsidR="00766C5A" w:rsidRPr="00766C5A">
        <w:rPr>
          <w:rFonts w:eastAsia="Calibri"/>
        </w:rPr>
        <w:t xml:space="preserve">EP.  </w:t>
      </w:r>
      <w:r w:rsidR="00A5340B">
        <w:rPr>
          <w:rFonts w:eastAsia="Calibri"/>
        </w:rPr>
        <w:t xml:space="preserve">It is important to emphasis that even in cities that resists </w:t>
      </w:r>
      <w:r w:rsidR="007D0E63">
        <w:rPr>
          <w:rFonts w:eastAsia="Calibri"/>
        </w:rPr>
        <w:t xml:space="preserve">cooperation </w:t>
      </w:r>
      <w:r w:rsidR="00A5340B">
        <w:rPr>
          <w:rFonts w:eastAsia="Calibri"/>
        </w:rPr>
        <w:t>with federal efforts to engage local policing of immigration are still exposed to the national emphasis on enforcement (Provine et al. 2016)</w:t>
      </w:r>
      <w:r w:rsidR="00B427A5">
        <w:rPr>
          <w:rFonts w:eastAsia="Calibri"/>
        </w:rPr>
        <w:t>.</w:t>
      </w:r>
      <w:r w:rsidR="00766C5A">
        <w:rPr>
          <w:rFonts w:eastAsia="Calibri"/>
        </w:rPr>
        <w:t xml:space="preserve">  Moreover, even though most of the literature on the policing of immigrants has focused on new migrant destinations, citizenship profiling and pretextual stops is still a concern given that policing immigrants occurs any time field officers encounter immigrants (see Armenta, 2011).  In such instances, even departments who may not adhere to partnerships with the Department of Homeland Security must still police, arrest, and protect immigrants.  </w:t>
      </w:r>
      <w:r w:rsidR="00545EAC">
        <w:rPr>
          <w:rFonts w:eastAsia="Calibri"/>
        </w:rPr>
        <w:t xml:space="preserve"> </w:t>
      </w:r>
    </w:p>
    <w:p w14:paraId="32AF1FA9" w14:textId="2B800414" w:rsidR="00B33DD8" w:rsidRPr="00C81BA1" w:rsidRDefault="00B33DD8" w:rsidP="006D278C">
      <w:pPr>
        <w:spacing w:line="480" w:lineRule="auto"/>
        <w:rPr>
          <w:rFonts w:eastAsia="Calibri"/>
          <w:u w:val="single"/>
        </w:rPr>
      </w:pPr>
      <w:r w:rsidRPr="00C81BA1">
        <w:rPr>
          <w:rFonts w:eastAsia="Calibri"/>
          <w:u w:val="single"/>
        </w:rPr>
        <w:t>Level-1</w:t>
      </w:r>
      <w:r w:rsidR="00C81BA1">
        <w:rPr>
          <w:rFonts w:eastAsia="Calibri"/>
          <w:u w:val="single"/>
        </w:rPr>
        <w:t xml:space="preserve"> Dependent, Independent, and Controls </w:t>
      </w:r>
    </w:p>
    <w:p w14:paraId="2BF1045F" w14:textId="69FA6A36" w:rsidR="006164B2" w:rsidRDefault="0022775C" w:rsidP="006164B2">
      <w:pPr>
        <w:spacing w:line="480" w:lineRule="auto"/>
        <w:ind w:firstLine="720"/>
        <w:rPr>
          <w:rFonts w:eastAsia="Calibri"/>
        </w:rPr>
      </w:pPr>
      <w:r>
        <w:rPr>
          <w:rFonts w:eastAsia="Calibri"/>
        </w:rPr>
        <w:t>The dependent variable in the analysis is based on the question</w:t>
      </w:r>
      <w:r w:rsidR="006C5F34">
        <w:rPr>
          <w:rFonts w:eastAsia="Calibri"/>
        </w:rPr>
        <w:t xml:space="preserve">, “In the last five years, other than at ports of entry or immigration checkpoints, how often has law enforcement personnel ever asked you about your citizenship status?”  Although the question allows for individuals to indicate if they have been stopped more than once, due to statistical concerns with missing data and low frequencies of individuals that have been asked about their citizenship status in over five </w:t>
      </w:r>
      <w:r w:rsidR="006164B2">
        <w:rPr>
          <w:rFonts w:eastAsia="Calibri"/>
        </w:rPr>
        <w:t xml:space="preserve">different </w:t>
      </w:r>
      <w:r w:rsidR="006C5F34">
        <w:rPr>
          <w:rFonts w:eastAsia="Calibri"/>
        </w:rPr>
        <w:t xml:space="preserve">occasions, we operationalize </w:t>
      </w:r>
      <w:r w:rsidR="006164B2">
        <w:rPr>
          <w:rFonts w:eastAsia="Calibri"/>
        </w:rPr>
        <w:t xml:space="preserve">the dependent </w:t>
      </w:r>
      <w:r w:rsidR="006C5F34">
        <w:rPr>
          <w:rFonts w:eastAsia="Calibri"/>
        </w:rPr>
        <w:t xml:space="preserve">variable as “1” if respondents were asked about their citizenship status, “0” if otherwise.  </w:t>
      </w:r>
      <w:r w:rsidR="006164B2">
        <w:rPr>
          <w:rFonts w:eastAsia="Calibri"/>
        </w:rPr>
        <w:t>A limitation is that we lack data on where individuals where asked about their citizenship status and the activities that they were involved in at that moment (i.e. driving, working, hanging out, etc…</w:t>
      </w:r>
      <w:r w:rsidR="006164B2" w:rsidRPr="00300E5E">
        <w:rPr>
          <w:rFonts w:eastAsia="Calibri"/>
        </w:rPr>
        <w:t xml:space="preserve">), </w:t>
      </w:r>
      <w:r w:rsidR="006164B2">
        <w:rPr>
          <w:rFonts w:eastAsia="Calibri"/>
        </w:rPr>
        <w:t xml:space="preserve">yet </w:t>
      </w:r>
      <w:r w:rsidR="006164B2" w:rsidRPr="00300E5E">
        <w:rPr>
          <w:rFonts w:eastAsia="Calibri"/>
        </w:rPr>
        <w:lastRenderedPageBreak/>
        <w:t>characteristics of the neighborhoods individuals reside in can reveal the impact of structural conditions on the likelihood of being asked about citizenship status.</w:t>
      </w:r>
    </w:p>
    <w:p w14:paraId="7D995B86" w14:textId="361D8798" w:rsidR="00117169" w:rsidRDefault="00117169" w:rsidP="006164B2">
      <w:pPr>
        <w:spacing w:line="480" w:lineRule="auto"/>
        <w:ind w:firstLine="720"/>
        <w:rPr>
          <w:rFonts w:eastAsia="Calibri"/>
        </w:rPr>
      </w:pPr>
      <w:r>
        <w:rPr>
          <w:rFonts w:eastAsia="Calibri"/>
        </w:rPr>
        <w:t xml:space="preserve">The independent variable is generational status.  </w:t>
      </w:r>
      <w:r w:rsidRPr="00117169">
        <w:rPr>
          <w:rFonts w:eastAsia="Calibri"/>
        </w:rPr>
        <w:t xml:space="preserve">The first generation consists of </w:t>
      </w:r>
      <w:r>
        <w:rPr>
          <w:rFonts w:eastAsia="Calibri"/>
        </w:rPr>
        <w:t xml:space="preserve">individuals </w:t>
      </w:r>
      <w:r w:rsidRPr="00117169">
        <w:rPr>
          <w:rFonts w:eastAsia="Calibri"/>
        </w:rPr>
        <w:t xml:space="preserve">who were born outside the United States. The second generation consists of </w:t>
      </w:r>
      <w:r>
        <w:rPr>
          <w:rFonts w:eastAsia="Calibri"/>
        </w:rPr>
        <w:t xml:space="preserve">individuals </w:t>
      </w:r>
      <w:r w:rsidRPr="00117169">
        <w:rPr>
          <w:rFonts w:eastAsia="Calibri"/>
        </w:rPr>
        <w:t>who were born in the United States and whose mothers are foreign</w:t>
      </w:r>
      <w:r>
        <w:rPr>
          <w:rFonts w:eastAsia="Calibri"/>
        </w:rPr>
        <w:t>-</w:t>
      </w:r>
      <w:r w:rsidRPr="00117169">
        <w:rPr>
          <w:rFonts w:eastAsia="Calibri"/>
        </w:rPr>
        <w:t xml:space="preserve">born. The third and/or later generations include </w:t>
      </w:r>
      <w:r>
        <w:rPr>
          <w:rFonts w:eastAsia="Calibri"/>
        </w:rPr>
        <w:t xml:space="preserve">individuals </w:t>
      </w:r>
      <w:r w:rsidRPr="00117169">
        <w:rPr>
          <w:rFonts w:eastAsia="Calibri"/>
        </w:rPr>
        <w:t xml:space="preserve">who were born in the United States and whose mothers were also born in the United States. Generational status is measured using two dummy variables (first and second generation), with </w:t>
      </w:r>
      <w:r>
        <w:rPr>
          <w:rFonts w:eastAsia="Calibri"/>
        </w:rPr>
        <w:t xml:space="preserve">individuals </w:t>
      </w:r>
      <w:r w:rsidRPr="00117169">
        <w:rPr>
          <w:rFonts w:eastAsia="Calibri"/>
        </w:rPr>
        <w:t>who are third and/or later generations being the reference group.</w:t>
      </w:r>
    </w:p>
    <w:p w14:paraId="25E79030" w14:textId="64BE8703" w:rsidR="00117169" w:rsidRDefault="00117169" w:rsidP="006164B2">
      <w:pPr>
        <w:spacing w:line="480" w:lineRule="auto"/>
        <w:ind w:firstLine="720"/>
        <w:rPr>
          <w:rFonts w:eastAsia="Calibri"/>
        </w:rPr>
      </w:pPr>
      <w:r>
        <w:rPr>
          <w:rFonts w:eastAsia="Calibri"/>
        </w:rPr>
        <w:t xml:space="preserve">At the individual-level we also included controls for </w:t>
      </w:r>
      <w:r w:rsidR="00B33DD8">
        <w:rPr>
          <w:rFonts w:eastAsia="Calibri"/>
        </w:rPr>
        <w:t xml:space="preserve">the </w:t>
      </w:r>
      <w:r>
        <w:rPr>
          <w:rFonts w:eastAsia="Calibri"/>
        </w:rPr>
        <w:t>demographic variables</w:t>
      </w:r>
      <w:r w:rsidR="00B33DD8">
        <w:rPr>
          <w:rFonts w:eastAsia="Calibri"/>
        </w:rPr>
        <w:t xml:space="preserve"> of Latina/o ethnicity, sex, and age.  Latina/o ethnicity is entered as a dummy variable (1= Latina/o ethnicity, 0= otherwise).  Sex is also entered as a dummy variable (1= male, 0= otherwise).  Age is measured as a continuous variable.  </w:t>
      </w:r>
      <w:r w:rsidR="00091A12">
        <w:rPr>
          <w:rFonts w:eastAsia="Calibri"/>
        </w:rPr>
        <w:t xml:space="preserve">Unfortunately, we are not able to include a control for social class at the individual-level due to a large number of missing values. </w:t>
      </w:r>
      <w:r w:rsidR="00B33DD8">
        <w:rPr>
          <w:rFonts w:eastAsia="Calibri"/>
        </w:rPr>
        <w:t xml:space="preserve"> </w:t>
      </w:r>
      <w:r>
        <w:rPr>
          <w:rFonts w:eastAsia="Calibri"/>
        </w:rPr>
        <w:t xml:space="preserve">  </w:t>
      </w:r>
    </w:p>
    <w:p w14:paraId="0923E7DB" w14:textId="08BE9CD4" w:rsidR="00B33DD8" w:rsidRPr="00C81BA1" w:rsidRDefault="00C81BA1" w:rsidP="00B33DD8">
      <w:pPr>
        <w:spacing w:line="480" w:lineRule="auto"/>
        <w:rPr>
          <w:rFonts w:eastAsia="Calibri"/>
          <w:u w:val="single"/>
        </w:rPr>
      </w:pPr>
      <w:r>
        <w:rPr>
          <w:rFonts w:eastAsia="Calibri"/>
          <w:u w:val="single"/>
        </w:rPr>
        <w:t xml:space="preserve">Level 2: Ethnic Enclave and Poverty Neighborhoods </w:t>
      </w:r>
    </w:p>
    <w:p w14:paraId="661880B6" w14:textId="43041196" w:rsidR="004D61FD" w:rsidRDefault="004D61FD" w:rsidP="00A62F0B">
      <w:pPr>
        <w:spacing w:line="480" w:lineRule="auto"/>
        <w:ind w:firstLine="720"/>
      </w:pPr>
      <w:r>
        <w:rPr>
          <w:rFonts w:eastAsia="Calibri"/>
        </w:rPr>
        <w:t xml:space="preserve">To capture </w:t>
      </w:r>
      <w:r w:rsidR="00B33DD8" w:rsidRPr="004D61FD">
        <w:rPr>
          <w:rFonts w:eastAsia="Calibri"/>
        </w:rPr>
        <w:t>the degree to which a neighborhood is an enclave</w:t>
      </w:r>
      <w:r>
        <w:rPr>
          <w:rFonts w:eastAsia="Calibri"/>
        </w:rPr>
        <w:t xml:space="preserve"> we used a c</w:t>
      </w:r>
      <w:r w:rsidRPr="004D61FD">
        <w:rPr>
          <w:rFonts w:eastAsia="Calibri"/>
        </w:rPr>
        <w:t>ombination of survey and census data (ACS 2008-2012)</w:t>
      </w:r>
      <w:r>
        <w:rPr>
          <w:rFonts w:eastAsia="Calibri"/>
        </w:rPr>
        <w:t>.  We began by constructing a continuous scale based on t</w:t>
      </w:r>
      <w:r>
        <w:t xml:space="preserve">ransnationalism (survey), acculturation to </w:t>
      </w:r>
      <w:r w:rsidR="004643C7">
        <w:rPr>
          <w:rFonts w:eastAsia="Calibri"/>
        </w:rPr>
        <w:t>México</w:t>
      </w:r>
      <w:r>
        <w:t xml:space="preserve"> (survey), percent foreign-born, percent foreign-born not naturalized</w:t>
      </w:r>
      <w:r w:rsidR="0084213D">
        <w:t xml:space="preserve"> (ACS)</w:t>
      </w:r>
      <w:r>
        <w:t>, percent Spanish only at home</w:t>
      </w:r>
      <w:r w:rsidR="0084213D">
        <w:t xml:space="preserve"> (ACS)</w:t>
      </w:r>
      <w:r>
        <w:t xml:space="preserve">, </w:t>
      </w:r>
      <w:r w:rsidR="0084213D">
        <w:t xml:space="preserve">and </w:t>
      </w:r>
      <w:r>
        <w:t>percent Mexican-origin</w:t>
      </w:r>
      <w:r w:rsidR="0084213D">
        <w:t xml:space="preserve"> (ACS)</w:t>
      </w:r>
      <w:r>
        <w:t xml:space="preserve">.  </w:t>
      </w:r>
      <w:r w:rsidR="00BC77F2">
        <w:t xml:space="preserve">Items for the scale were converted to z-scores and averaged.  </w:t>
      </w:r>
      <w:r w:rsidR="0084213D" w:rsidRPr="00767873">
        <w:t xml:space="preserve">The responses to these items were summed to create a scale measure of </w:t>
      </w:r>
      <w:r w:rsidR="008D5517">
        <w:t>“</w:t>
      </w:r>
      <w:r w:rsidR="0084213D">
        <w:t>enclavishness.</w:t>
      </w:r>
      <w:r w:rsidR="008D5517">
        <w:t>”</w:t>
      </w:r>
      <w:r w:rsidR="0084213D">
        <w:t xml:space="preserve">  </w:t>
      </w:r>
      <w:r w:rsidR="0084213D" w:rsidRPr="00767873">
        <w:t xml:space="preserve">Cronbach’s Alpha for the </w:t>
      </w:r>
      <w:r w:rsidR="008D5517">
        <w:t xml:space="preserve">enclavishness </w:t>
      </w:r>
      <w:r w:rsidR="0084213D" w:rsidRPr="00767873">
        <w:t>items is .8</w:t>
      </w:r>
      <w:r w:rsidR="008D5517">
        <w:t>24</w:t>
      </w:r>
      <w:r w:rsidR="0084213D">
        <w:t xml:space="preserve">.  </w:t>
      </w:r>
      <w:r w:rsidR="0084213D" w:rsidRPr="00767873">
        <w:t xml:space="preserve">Factor Analysis </w:t>
      </w:r>
      <w:r w:rsidR="008D5517">
        <w:t xml:space="preserve">extracted a single </w:t>
      </w:r>
      <w:r w:rsidR="0084213D">
        <w:t xml:space="preserve">component </w:t>
      </w:r>
      <w:r w:rsidR="00BC77F2">
        <w:t xml:space="preserve">and lowest loading is .771.  Background analysis determined that the influence of </w:t>
      </w:r>
      <w:r w:rsidR="00A62F0B">
        <w:t xml:space="preserve">neighborhood </w:t>
      </w:r>
      <w:r w:rsidR="00BC77F2">
        <w:t xml:space="preserve">degree of </w:t>
      </w:r>
      <w:r w:rsidR="00A62F0B">
        <w:lastRenderedPageBreak/>
        <w:t xml:space="preserve">enclavishness on being asked about citizenship status by law enforcement is </w:t>
      </w:r>
      <w:r w:rsidR="00BC77F2">
        <w:t xml:space="preserve">not linear </w:t>
      </w:r>
      <w:r w:rsidR="00A62F0B">
        <w:t xml:space="preserve">so </w:t>
      </w:r>
      <w:r w:rsidR="00BC77F2">
        <w:t>we constructed dummy variables representing low enclave neighborhoods (1= z-scores representing the bottom 30</w:t>
      </w:r>
      <w:r w:rsidR="00A62F0B" w:rsidRPr="00A62F0B">
        <w:rPr>
          <w:vertAlign w:val="superscript"/>
        </w:rPr>
        <w:t>th</w:t>
      </w:r>
      <w:r w:rsidR="00A62F0B">
        <w:t xml:space="preserve"> percentile; </w:t>
      </w:r>
      <w:r w:rsidR="00BC77F2">
        <w:t>0= otherwise) and mid-level enclave (1= z-scores between 31</w:t>
      </w:r>
      <w:r w:rsidR="00A62F0B" w:rsidRPr="00A62F0B">
        <w:rPr>
          <w:vertAlign w:val="superscript"/>
        </w:rPr>
        <w:t>st</w:t>
      </w:r>
      <w:r w:rsidR="00BC77F2">
        <w:t xml:space="preserve"> and 60</w:t>
      </w:r>
      <w:r w:rsidR="00A62F0B" w:rsidRPr="00A62F0B">
        <w:rPr>
          <w:vertAlign w:val="superscript"/>
        </w:rPr>
        <w:t>th</w:t>
      </w:r>
      <w:r w:rsidR="00A62F0B">
        <w:t xml:space="preserve"> </w:t>
      </w:r>
      <w:r w:rsidR="00BC77F2">
        <w:t>percent</w:t>
      </w:r>
      <w:r w:rsidR="00A62F0B">
        <w:t>ile</w:t>
      </w:r>
      <w:r w:rsidR="00BC77F2">
        <w:t>; 0= otherwise), with the reference category representing neighborhoods with high levels of enclavishness (z-scores above the 61</w:t>
      </w:r>
      <w:r w:rsidR="00BC77F2" w:rsidRPr="00BC77F2">
        <w:rPr>
          <w:vertAlign w:val="superscript"/>
        </w:rPr>
        <w:t>st</w:t>
      </w:r>
      <w:r w:rsidR="00BC77F2">
        <w:t xml:space="preserve"> percentile).  </w:t>
      </w:r>
    </w:p>
    <w:p w14:paraId="74D7FCA2" w14:textId="77777777" w:rsidR="000F4977" w:rsidRPr="004F66C7" w:rsidRDefault="000F4977" w:rsidP="000F4977">
      <w:r w:rsidRPr="004F66C7">
        <w:rPr>
          <w:b/>
        </w:rPr>
        <w:t xml:space="preserve">Table </w:t>
      </w:r>
      <w:r>
        <w:rPr>
          <w:b/>
        </w:rPr>
        <w:t xml:space="preserve">1. </w:t>
      </w:r>
      <w:r w:rsidRPr="004F66C7">
        <w:t>Description of variables in the analysis</w:t>
      </w:r>
    </w:p>
    <w:tbl>
      <w:tblPr>
        <w:tblStyle w:val="MediumList2"/>
        <w:tblW w:w="4756" w:type="pct"/>
        <w:tblLook w:val="0460" w:firstRow="1" w:lastRow="1" w:firstColumn="0" w:lastColumn="0" w:noHBand="0" w:noVBand="1"/>
      </w:tblPr>
      <w:tblGrid>
        <w:gridCol w:w="1457"/>
        <w:gridCol w:w="2693"/>
        <w:gridCol w:w="1611"/>
        <w:gridCol w:w="576"/>
        <w:gridCol w:w="1272"/>
        <w:gridCol w:w="1275"/>
      </w:tblGrid>
      <w:tr w:rsidR="000F4977" w:rsidRPr="004F66C7" w14:paraId="2C6BAB2B" w14:textId="77777777" w:rsidTr="00874E20">
        <w:trPr>
          <w:cnfStyle w:val="100000000000" w:firstRow="1" w:lastRow="0" w:firstColumn="0" w:lastColumn="0" w:oddVBand="0" w:evenVBand="0" w:oddHBand="0" w:evenHBand="0" w:firstRowFirstColumn="0" w:firstRowLastColumn="0" w:lastRowFirstColumn="0" w:lastRowLastColumn="0"/>
          <w:trHeight w:val="438"/>
        </w:trPr>
        <w:tc>
          <w:tcPr>
            <w:tcW w:w="831" w:type="pct"/>
          </w:tcPr>
          <w:p w14:paraId="1D03BAEE" w14:textId="77777777" w:rsidR="000F4977" w:rsidRPr="004F66C7" w:rsidRDefault="000F4977" w:rsidP="00874E20">
            <w:pPr>
              <w:jc w:val="center"/>
              <w:rPr>
                <w:sz w:val="20"/>
                <w:szCs w:val="20"/>
              </w:rPr>
            </w:pPr>
          </w:p>
        </w:tc>
        <w:tc>
          <w:tcPr>
            <w:tcW w:w="1478" w:type="pct"/>
            <w:noWrap/>
          </w:tcPr>
          <w:p w14:paraId="3326FB7A" w14:textId="77777777" w:rsidR="000F4977" w:rsidRDefault="000F4977" w:rsidP="00874E20">
            <w:pPr>
              <w:jc w:val="center"/>
              <w:rPr>
                <w:sz w:val="20"/>
                <w:szCs w:val="20"/>
              </w:rPr>
            </w:pPr>
          </w:p>
          <w:p w14:paraId="798A47F1" w14:textId="77777777" w:rsidR="000F4977" w:rsidRPr="004F66C7" w:rsidRDefault="000F4977" w:rsidP="00874E20">
            <w:pPr>
              <w:jc w:val="center"/>
              <w:rPr>
                <w:sz w:val="20"/>
                <w:szCs w:val="20"/>
              </w:rPr>
            </w:pPr>
            <w:r w:rsidRPr="004F66C7">
              <w:rPr>
                <w:sz w:val="20"/>
                <w:szCs w:val="20"/>
              </w:rPr>
              <w:t>Variables</w:t>
            </w:r>
          </w:p>
        </w:tc>
        <w:tc>
          <w:tcPr>
            <w:tcW w:w="918" w:type="pct"/>
          </w:tcPr>
          <w:p w14:paraId="48F6D379" w14:textId="77777777" w:rsidR="000F4977" w:rsidRDefault="000F4977" w:rsidP="00874E20">
            <w:pPr>
              <w:jc w:val="center"/>
              <w:rPr>
                <w:sz w:val="20"/>
                <w:szCs w:val="20"/>
              </w:rPr>
            </w:pPr>
          </w:p>
          <w:p w14:paraId="401BAA97" w14:textId="77777777" w:rsidR="000F4977" w:rsidRPr="004F66C7" w:rsidRDefault="000F4977" w:rsidP="00874E20">
            <w:pPr>
              <w:jc w:val="center"/>
              <w:rPr>
                <w:sz w:val="20"/>
                <w:szCs w:val="20"/>
              </w:rPr>
            </w:pPr>
            <w:r w:rsidRPr="004F66C7">
              <w:rPr>
                <w:sz w:val="20"/>
                <w:szCs w:val="20"/>
              </w:rPr>
              <w:t>Description</w:t>
            </w:r>
          </w:p>
        </w:tc>
        <w:tc>
          <w:tcPr>
            <w:tcW w:w="316" w:type="pct"/>
          </w:tcPr>
          <w:p w14:paraId="006C3056" w14:textId="77777777" w:rsidR="000F4977" w:rsidRDefault="000F4977" w:rsidP="00874E20">
            <w:pPr>
              <w:jc w:val="center"/>
              <w:rPr>
                <w:sz w:val="20"/>
                <w:szCs w:val="20"/>
              </w:rPr>
            </w:pPr>
          </w:p>
          <w:p w14:paraId="5186FFAD" w14:textId="77777777" w:rsidR="000F4977" w:rsidRPr="004F66C7" w:rsidRDefault="000F4977" w:rsidP="00874E20">
            <w:pPr>
              <w:jc w:val="center"/>
              <w:rPr>
                <w:sz w:val="20"/>
                <w:szCs w:val="20"/>
              </w:rPr>
            </w:pPr>
            <w:r>
              <w:rPr>
                <w:sz w:val="20"/>
                <w:szCs w:val="20"/>
              </w:rPr>
              <w:t>N</w:t>
            </w:r>
          </w:p>
        </w:tc>
        <w:tc>
          <w:tcPr>
            <w:tcW w:w="727" w:type="pct"/>
          </w:tcPr>
          <w:p w14:paraId="430B5EAC" w14:textId="77777777" w:rsidR="000F4977" w:rsidRDefault="000F4977" w:rsidP="00874E20">
            <w:pPr>
              <w:jc w:val="center"/>
              <w:rPr>
                <w:sz w:val="20"/>
                <w:szCs w:val="20"/>
              </w:rPr>
            </w:pPr>
          </w:p>
          <w:p w14:paraId="263BD516" w14:textId="77777777" w:rsidR="000F4977" w:rsidRPr="004F66C7" w:rsidRDefault="000F4977" w:rsidP="00874E20">
            <w:pPr>
              <w:jc w:val="center"/>
              <w:rPr>
                <w:b/>
                <w:bCs/>
                <w:sz w:val="20"/>
                <w:szCs w:val="20"/>
              </w:rPr>
            </w:pPr>
            <w:r>
              <w:rPr>
                <w:sz w:val="20"/>
                <w:szCs w:val="20"/>
              </w:rPr>
              <w:t>Mean</w:t>
            </w:r>
          </w:p>
        </w:tc>
        <w:tc>
          <w:tcPr>
            <w:tcW w:w="729" w:type="pct"/>
          </w:tcPr>
          <w:p w14:paraId="606A7658" w14:textId="77777777" w:rsidR="000F4977" w:rsidRDefault="000F4977" w:rsidP="00874E20">
            <w:pPr>
              <w:jc w:val="center"/>
              <w:rPr>
                <w:sz w:val="20"/>
                <w:szCs w:val="20"/>
              </w:rPr>
            </w:pPr>
          </w:p>
          <w:p w14:paraId="6F4B0780" w14:textId="77777777" w:rsidR="000F4977" w:rsidRPr="004F66C7" w:rsidRDefault="000F4977" w:rsidP="00874E20">
            <w:pPr>
              <w:jc w:val="center"/>
              <w:rPr>
                <w:sz w:val="20"/>
                <w:szCs w:val="20"/>
              </w:rPr>
            </w:pPr>
            <w:r>
              <w:rPr>
                <w:sz w:val="20"/>
                <w:szCs w:val="20"/>
              </w:rPr>
              <w:t>S.D.</w:t>
            </w:r>
          </w:p>
        </w:tc>
      </w:tr>
      <w:tr w:rsidR="000F4977" w:rsidRPr="004F66C7" w14:paraId="0448AA3F"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3992593A" w14:textId="77777777" w:rsidR="000F4977" w:rsidRPr="004F66C7" w:rsidRDefault="000F4977" w:rsidP="00874E20">
            <w:pPr>
              <w:rPr>
                <w:sz w:val="20"/>
                <w:szCs w:val="20"/>
              </w:rPr>
            </w:pPr>
          </w:p>
        </w:tc>
        <w:tc>
          <w:tcPr>
            <w:tcW w:w="1478" w:type="pct"/>
            <w:noWrap/>
          </w:tcPr>
          <w:p w14:paraId="3E75E049" w14:textId="77777777" w:rsidR="000F4977" w:rsidRPr="004F66C7" w:rsidRDefault="000F4977" w:rsidP="00874E20">
            <w:pPr>
              <w:rPr>
                <w:sz w:val="20"/>
                <w:szCs w:val="20"/>
              </w:rPr>
            </w:pPr>
            <w:r w:rsidRPr="004F66C7">
              <w:rPr>
                <w:sz w:val="20"/>
                <w:szCs w:val="20"/>
              </w:rPr>
              <w:t>Dependent Variable</w:t>
            </w:r>
          </w:p>
        </w:tc>
        <w:tc>
          <w:tcPr>
            <w:tcW w:w="918" w:type="pct"/>
          </w:tcPr>
          <w:p w14:paraId="4B2A1EAB" w14:textId="77777777" w:rsidR="000F4977" w:rsidRPr="004F66C7" w:rsidRDefault="000F4977" w:rsidP="00874E20">
            <w:pPr>
              <w:rPr>
                <w:sz w:val="20"/>
                <w:szCs w:val="20"/>
              </w:rPr>
            </w:pPr>
          </w:p>
        </w:tc>
        <w:tc>
          <w:tcPr>
            <w:tcW w:w="316" w:type="pct"/>
          </w:tcPr>
          <w:p w14:paraId="29E77145" w14:textId="77777777" w:rsidR="000F4977" w:rsidRPr="004F66C7" w:rsidRDefault="000F4977" w:rsidP="00874E20">
            <w:pPr>
              <w:rPr>
                <w:sz w:val="20"/>
                <w:szCs w:val="20"/>
              </w:rPr>
            </w:pPr>
          </w:p>
        </w:tc>
        <w:tc>
          <w:tcPr>
            <w:tcW w:w="727" w:type="pct"/>
          </w:tcPr>
          <w:p w14:paraId="2EF1342B" w14:textId="77777777" w:rsidR="000F4977" w:rsidRPr="004F66C7" w:rsidRDefault="000F4977" w:rsidP="00874E20">
            <w:pPr>
              <w:rPr>
                <w:sz w:val="20"/>
                <w:szCs w:val="20"/>
              </w:rPr>
            </w:pPr>
          </w:p>
        </w:tc>
        <w:tc>
          <w:tcPr>
            <w:tcW w:w="729" w:type="pct"/>
          </w:tcPr>
          <w:p w14:paraId="766B0FC3" w14:textId="77777777" w:rsidR="000F4977" w:rsidRPr="004F66C7" w:rsidRDefault="000F4977" w:rsidP="00874E20">
            <w:pPr>
              <w:rPr>
                <w:sz w:val="20"/>
                <w:szCs w:val="20"/>
              </w:rPr>
            </w:pPr>
          </w:p>
        </w:tc>
      </w:tr>
      <w:tr w:rsidR="000F4977" w:rsidRPr="004F66C7" w14:paraId="5B1A394F" w14:textId="77777777" w:rsidTr="00874E20">
        <w:trPr>
          <w:trHeight w:val="438"/>
        </w:trPr>
        <w:tc>
          <w:tcPr>
            <w:tcW w:w="831" w:type="pct"/>
          </w:tcPr>
          <w:p w14:paraId="72B7F6D8" w14:textId="77777777" w:rsidR="000F4977" w:rsidRPr="004F66C7" w:rsidRDefault="000F4977" w:rsidP="00874E20">
            <w:pPr>
              <w:jc w:val="center"/>
              <w:rPr>
                <w:sz w:val="20"/>
                <w:szCs w:val="20"/>
              </w:rPr>
            </w:pPr>
          </w:p>
        </w:tc>
        <w:tc>
          <w:tcPr>
            <w:tcW w:w="1478" w:type="pct"/>
            <w:noWrap/>
          </w:tcPr>
          <w:p w14:paraId="1685B302" w14:textId="77777777" w:rsidR="000F4977" w:rsidRPr="004F66C7" w:rsidRDefault="000F4977" w:rsidP="00874E20">
            <w:pPr>
              <w:jc w:val="center"/>
              <w:rPr>
                <w:sz w:val="20"/>
                <w:szCs w:val="20"/>
              </w:rPr>
            </w:pPr>
            <w:r w:rsidRPr="004F66C7">
              <w:rPr>
                <w:sz w:val="20"/>
                <w:szCs w:val="20"/>
              </w:rPr>
              <w:t>Asked Status</w:t>
            </w:r>
          </w:p>
        </w:tc>
        <w:tc>
          <w:tcPr>
            <w:tcW w:w="918" w:type="pct"/>
          </w:tcPr>
          <w:p w14:paraId="223114D7" w14:textId="77777777" w:rsidR="000F4977" w:rsidRPr="004F66C7" w:rsidRDefault="000F4977" w:rsidP="00874E20">
            <w:pPr>
              <w:jc w:val="center"/>
              <w:rPr>
                <w:sz w:val="20"/>
                <w:szCs w:val="20"/>
              </w:rPr>
            </w:pPr>
            <w:r>
              <w:rPr>
                <w:sz w:val="20"/>
                <w:szCs w:val="20"/>
              </w:rPr>
              <w:t>0=No</w:t>
            </w:r>
            <w:r w:rsidRPr="004F66C7">
              <w:rPr>
                <w:sz w:val="20"/>
                <w:szCs w:val="20"/>
              </w:rPr>
              <w:t xml:space="preserve"> 1=</w:t>
            </w:r>
            <w:r>
              <w:rPr>
                <w:sz w:val="20"/>
                <w:szCs w:val="20"/>
              </w:rPr>
              <w:t>Yes</w:t>
            </w:r>
          </w:p>
        </w:tc>
        <w:tc>
          <w:tcPr>
            <w:tcW w:w="316" w:type="pct"/>
          </w:tcPr>
          <w:p w14:paraId="4FF95006" w14:textId="77777777" w:rsidR="000F4977" w:rsidRPr="004F66C7" w:rsidRDefault="000F4977" w:rsidP="00874E20">
            <w:pPr>
              <w:jc w:val="center"/>
              <w:rPr>
                <w:sz w:val="20"/>
                <w:szCs w:val="20"/>
              </w:rPr>
            </w:pPr>
            <w:r>
              <w:rPr>
                <w:sz w:val="20"/>
                <w:szCs w:val="20"/>
              </w:rPr>
              <w:t>677</w:t>
            </w:r>
          </w:p>
        </w:tc>
        <w:tc>
          <w:tcPr>
            <w:tcW w:w="727" w:type="pct"/>
          </w:tcPr>
          <w:p w14:paraId="2A7FE0CE" w14:textId="77777777" w:rsidR="000F4977" w:rsidRPr="004F66C7" w:rsidRDefault="000F4977" w:rsidP="00874E20">
            <w:pPr>
              <w:jc w:val="center"/>
              <w:rPr>
                <w:sz w:val="20"/>
                <w:szCs w:val="20"/>
              </w:rPr>
            </w:pPr>
            <w:r>
              <w:rPr>
                <w:sz w:val="20"/>
                <w:szCs w:val="20"/>
              </w:rPr>
              <w:t>.18</w:t>
            </w:r>
          </w:p>
        </w:tc>
        <w:tc>
          <w:tcPr>
            <w:tcW w:w="729" w:type="pct"/>
          </w:tcPr>
          <w:p w14:paraId="06E00486" w14:textId="77777777" w:rsidR="000F4977" w:rsidRPr="004F66C7" w:rsidRDefault="000F4977" w:rsidP="00874E20">
            <w:pPr>
              <w:jc w:val="center"/>
              <w:rPr>
                <w:sz w:val="20"/>
                <w:szCs w:val="20"/>
              </w:rPr>
            </w:pPr>
            <w:r>
              <w:rPr>
                <w:sz w:val="20"/>
                <w:szCs w:val="20"/>
              </w:rPr>
              <w:t>.38</w:t>
            </w:r>
          </w:p>
        </w:tc>
      </w:tr>
      <w:tr w:rsidR="000F4977" w:rsidRPr="004F66C7" w14:paraId="006A3D44"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1815611F" w14:textId="77777777" w:rsidR="000F4977" w:rsidRPr="00C51B6A" w:rsidRDefault="000F4977" w:rsidP="00874E20">
            <w:pPr>
              <w:jc w:val="center"/>
              <w:rPr>
                <w:b/>
                <w:sz w:val="20"/>
                <w:szCs w:val="20"/>
              </w:rPr>
            </w:pPr>
            <w:r>
              <w:rPr>
                <w:b/>
                <w:sz w:val="20"/>
                <w:szCs w:val="20"/>
              </w:rPr>
              <w:t>LEVEL 1</w:t>
            </w:r>
          </w:p>
        </w:tc>
        <w:tc>
          <w:tcPr>
            <w:tcW w:w="1478" w:type="pct"/>
            <w:noWrap/>
          </w:tcPr>
          <w:p w14:paraId="073B9870" w14:textId="77777777" w:rsidR="000F4977" w:rsidRPr="004F66C7" w:rsidRDefault="000F4977" w:rsidP="00874E20">
            <w:pPr>
              <w:jc w:val="center"/>
              <w:rPr>
                <w:i/>
                <w:sz w:val="20"/>
                <w:szCs w:val="20"/>
              </w:rPr>
            </w:pPr>
          </w:p>
          <w:p w14:paraId="1453C0AE" w14:textId="77777777" w:rsidR="000F4977" w:rsidRPr="004F66C7" w:rsidRDefault="000F4977" w:rsidP="00874E20">
            <w:pPr>
              <w:jc w:val="center"/>
              <w:rPr>
                <w:i/>
                <w:sz w:val="20"/>
                <w:szCs w:val="20"/>
              </w:rPr>
            </w:pPr>
            <w:r w:rsidRPr="004F66C7">
              <w:rPr>
                <w:i/>
                <w:sz w:val="20"/>
                <w:szCs w:val="20"/>
              </w:rPr>
              <w:t>Individual-Level</w:t>
            </w:r>
          </w:p>
        </w:tc>
        <w:tc>
          <w:tcPr>
            <w:tcW w:w="918" w:type="pct"/>
          </w:tcPr>
          <w:p w14:paraId="6C138B54" w14:textId="77777777" w:rsidR="000F4977" w:rsidRPr="004F66C7" w:rsidRDefault="000F4977" w:rsidP="00874E20">
            <w:pPr>
              <w:rPr>
                <w:rStyle w:val="SubtleEmphasis"/>
                <w:sz w:val="20"/>
                <w:szCs w:val="20"/>
              </w:rPr>
            </w:pPr>
          </w:p>
        </w:tc>
        <w:tc>
          <w:tcPr>
            <w:tcW w:w="316" w:type="pct"/>
          </w:tcPr>
          <w:p w14:paraId="44D51797" w14:textId="77777777" w:rsidR="000F4977" w:rsidRPr="004F66C7" w:rsidRDefault="000F4977" w:rsidP="00874E20">
            <w:pPr>
              <w:rPr>
                <w:rStyle w:val="SubtleEmphasis"/>
                <w:sz w:val="20"/>
                <w:szCs w:val="20"/>
              </w:rPr>
            </w:pPr>
          </w:p>
        </w:tc>
        <w:tc>
          <w:tcPr>
            <w:tcW w:w="727" w:type="pct"/>
          </w:tcPr>
          <w:p w14:paraId="3DF6E248" w14:textId="77777777" w:rsidR="000F4977" w:rsidRPr="004F66C7" w:rsidRDefault="000F4977" w:rsidP="00874E20">
            <w:pPr>
              <w:rPr>
                <w:rStyle w:val="SubtleEmphasis"/>
                <w:sz w:val="20"/>
                <w:szCs w:val="20"/>
              </w:rPr>
            </w:pPr>
          </w:p>
        </w:tc>
        <w:tc>
          <w:tcPr>
            <w:tcW w:w="729" w:type="pct"/>
          </w:tcPr>
          <w:p w14:paraId="4353C99C" w14:textId="77777777" w:rsidR="000F4977" w:rsidRPr="004F66C7" w:rsidRDefault="000F4977" w:rsidP="00874E20">
            <w:pPr>
              <w:rPr>
                <w:rStyle w:val="SubtleEmphasis"/>
                <w:sz w:val="20"/>
                <w:szCs w:val="20"/>
              </w:rPr>
            </w:pPr>
          </w:p>
        </w:tc>
      </w:tr>
      <w:tr w:rsidR="000F4977" w:rsidRPr="004F66C7" w14:paraId="5F3B5A86" w14:textId="77777777" w:rsidTr="00874E20">
        <w:trPr>
          <w:trHeight w:val="438"/>
        </w:trPr>
        <w:tc>
          <w:tcPr>
            <w:tcW w:w="831" w:type="pct"/>
          </w:tcPr>
          <w:p w14:paraId="06BD1A25" w14:textId="77777777" w:rsidR="000F4977" w:rsidRPr="004F66C7" w:rsidRDefault="000F4977" w:rsidP="00874E20">
            <w:pPr>
              <w:jc w:val="center"/>
              <w:rPr>
                <w:sz w:val="20"/>
                <w:szCs w:val="20"/>
              </w:rPr>
            </w:pPr>
          </w:p>
        </w:tc>
        <w:tc>
          <w:tcPr>
            <w:tcW w:w="1478" w:type="pct"/>
            <w:noWrap/>
          </w:tcPr>
          <w:p w14:paraId="1FA0B903" w14:textId="77777777" w:rsidR="000F4977" w:rsidRPr="004F66C7" w:rsidRDefault="000F4977" w:rsidP="00874E20">
            <w:pPr>
              <w:jc w:val="center"/>
              <w:rPr>
                <w:sz w:val="20"/>
                <w:szCs w:val="20"/>
              </w:rPr>
            </w:pPr>
            <w:r w:rsidRPr="004F66C7">
              <w:rPr>
                <w:sz w:val="20"/>
                <w:szCs w:val="20"/>
              </w:rPr>
              <w:t>Age</w:t>
            </w:r>
          </w:p>
        </w:tc>
        <w:tc>
          <w:tcPr>
            <w:tcW w:w="918" w:type="pct"/>
          </w:tcPr>
          <w:p w14:paraId="73E67693" w14:textId="77777777" w:rsidR="000F4977" w:rsidRPr="004F66C7" w:rsidRDefault="000F4977" w:rsidP="00874E20">
            <w:pPr>
              <w:pStyle w:val="DecimalAligned"/>
              <w:jc w:val="center"/>
              <w:rPr>
                <w:rFonts w:ascii="Times New Roman" w:hAnsi="Times New Roman" w:cs="Times New Roman"/>
                <w:sz w:val="20"/>
                <w:szCs w:val="20"/>
              </w:rPr>
            </w:pPr>
            <w:r w:rsidRPr="004F66C7">
              <w:rPr>
                <w:rFonts w:ascii="Times New Roman" w:hAnsi="Times New Roman" w:cs="Times New Roman"/>
                <w:sz w:val="20"/>
                <w:szCs w:val="20"/>
              </w:rPr>
              <w:t>Continuous</w:t>
            </w:r>
          </w:p>
        </w:tc>
        <w:tc>
          <w:tcPr>
            <w:tcW w:w="316" w:type="pct"/>
          </w:tcPr>
          <w:p w14:paraId="6B5FDCB9"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57A39C44"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40.89</w:t>
            </w:r>
          </w:p>
        </w:tc>
        <w:tc>
          <w:tcPr>
            <w:tcW w:w="729" w:type="pct"/>
          </w:tcPr>
          <w:p w14:paraId="3AAECEAB"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15.38</w:t>
            </w:r>
          </w:p>
        </w:tc>
      </w:tr>
      <w:tr w:rsidR="000F4977" w:rsidRPr="004F66C7" w14:paraId="24A112FF" w14:textId="77777777" w:rsidTr="00874E20">
        <w:trPr>
          <w:cnfStyle w:val="000000100000" w:firstRow="0" w:lastRow="0" w:firstColumn="0" w:lastColumn="0" w:oddVBand="0" w:evenVBand="0" w:oddHBand="1" w:evenHBand="0" w:firstRowFirstColumn="0" w:firstRowLastColumn="0" w:lastRowFirstColumn="0" w:lastRowLastColumn="0"/>
          <w:trHeight w:val="458"/>
        </w:trPr>
        <w:tc>
          <w:tcPr>
            <w:tcW w:w="831" w:type="pct"/>
          </w:tcPr>
          <w:p w14:paraId="030CAFCF" w14:textId="77777777" w:rsidR="000F4977" w:rsidRPr="004F66C7" w:rsidRDefault="000F4977" w:rsidP="00874E20">
            <w:pPr>
              <w:jc w:val="center"/>
              <w:rPr>
                <w:sz w:val="20"/>
                <w:szCs w:val="20"/>
              </w:rPr>
            </w:pPr>
          </w:p>
        </w:tc>
        <w:tc>
          <w:tcPr>
            <w:tcW w:w="1478" w:type="pct"/>
            <w:noWrap/>
          </w:tcPr>
          <w:p w14:paraId="18C1459C" w14:textId="77777777" w:rsidR="000F4977" w:rsidRPr="004F66C7" w:rsidRDefault="000F4977" w:rsidP="00874E20">
            <w:pPr>
              <w:jc w:val="center"/>
              <w:rPr>
                <w:sz w:val="20"/>
                <w:szCs w:val="20"/>
              </w:rPr>
            </w:pPr>
            <w:r w:rsidRPr="004F66C7">
              <w:rPr>
                <w:sz w:val="20"/>
                <w:szCs w:val="20"/>
              </w:rPr>
              <w:t>Sex</w:t>
            </w:r>
          </w:p>
        </w:tc>
        <w:tc>
          <w:tcPr>
            <w:tcW w:w="918" w:type="pct"/>
          </w:tcPr>
          <w:p w14:paraId="499827FF" w14:textId="77777777" w:rsidR="000F4977" w:rsidRPr="004F66C7" w:rsidRDefault="000F4977" w:rsidP="00874E20">
            <w:pPr>
              <w:pStyle w:val="DecimalAligned"/>
              <w:jc w:val="center"/>
              <w:rPr>
                <w:rFonts w:ascii="Times New Roman" w:hAnsi="Times New Roman" w:cs="Times New Roman"/>
                <w:sz w:val="20"/>
                <w:szCs w:val="20"/>
              </w:rPr>
            </w:pPr>
            <w:r w:rsidRPr="004F66C7">
              <w:rPr>
                <w:rFonts w:ascii="Times New Roman" w:hAnsi="Times New Roman" w:cs="Times New Roman"/>
                <w:sz w:val="20"/>
                <w:szCs w:val="20"/>
              </w:rPr>
              <w:t>0= Female 1=Male</w:t>
            </w:r>
          </w:p>
        </w:tc>
        <w:tc>
          <w:tcPr>
            <w:tcW w:w="316" w:type="pct"/>
          </w:tcPr>
          <w:p w14:paraId="6D434690"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48F6F5DA"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.50</w:t>
            </w:r>
          </w:p>
        </w:tc>
        <w:tc>
          <w:tcPr>
            <w:tcW w:w="729" w:type="pct"/>
          </w:tcPr>
          <w:p w14:paraId="4542897B"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.50</w:t>
            </w:r>
          </w:p>
        </w:tc>
      </w:tr>
      <w:tr w:rsidR="000F4977" w:rsidRPr="004F66C7" w14:paraId="2ECAF2C9" w14:textId="77777777" w:rsidTr="00874E20">
        <w:trPr>
          <w:trHeight w:val="438"/>
        </w:trPr>
        <w:tc>
          <w:tcPr>
            <w:tcW w:w="831" w:type="pct"/>
          </w:tcPr>
          <w:p w14:paraId="526275E9" w14:textId="77777777" w:rsidR="000F4977" w:rsidRDefault="000F4977" w:rsidP="00874E20">
            <w:pPr>
              <w:jc w:val="center"/>
              <w:rPr>
                <w:sz w:val="20"/>
                <w:szCs w:val="20"/>
              </w:rPr>
            </w:pPr>
          </w:p>
        </w:tc>
        <w:tc>
          <w:tcPr>
            <w:tcW w:w="1478" w:type="pct"/>
            <w:noWrap/>
          </w:tcPr>
          <w:p w14:paraId="26524B1B" w14:textId="77777777" w:rsidR="000F4977" w:rsidRPr="004F66C7" w:rsidRDefault="000F4977" w:rsidP="00874E20">
            <w:pPr>
              <w:jc w:val="center"/>
              <w:rPr>
                <w:sz w:val="20"/>
                <w:szCs w:val="20"/>
              </w:rPr>
            </w:pPr>
            <w:r>
              <w:rPr>
                <w:sz w:val="20"/>
                <w:szCs w:val="20"/>
              </w:rPr>
              <w:t>First Generation</w:t>
            </w:r>
          </w:p>
        </w:tc>
        <w:tc>
          <w:tcPr>
            <w:tcW w:w="918" w:type="pct"/>
          </w:tcPr>
          <w:p w14:paraId="3E180E05"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0= No 1=Yes</w:t>
            </w:r>
          </w:p>
        </w:tc>
        <w:tc>
          <w:tcPr>
            <w:tcW w:w="316" w:type="pct"/>
          </w:tcPr>
          <w:p w14:paraId="3BDEAD09"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68A0F63A"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.25</w:t>
            </w:r>
          </w:p>
        </w:tc>
        <w:tc>
          <w:tcPr>
            <w:tcW w:w="729" w:type="pct"/>
          </w:tcPr>
          <w:p w14:paraId="0213059C"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.43</w:t>
            </w:r>
          </w:p>
        </w:tc>
      </w:tr>
      <w:tr w:rsidR="000F4977" w:rsidRPr="004F66C7" w14:paraId="295F3003"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3AD0DCF1" w14:textId="77777777" w:rsidR="000F4977" w:rsidRDefault="000F4977" w:rsidP="00874E20">
            <w:pPr>
              <w:jc w:val="center"/>
              <w:rPr>
                <w:sz w:val="20"/>
                <w:szCs w:val="20"/>
              </w:rPr>
            </w:pPr>
          </w:p>
        </w:tc>
        <w:tc>
          <w:tcPr>
            <w:tcW w:w="1478" w:type="pct"/>
            <w:noWrap/>
          </w:tcPr>
          <w:p w14:paraId="79B8E4CF" w14:textId="77777777" w:rsidR="000F4977" w:rsidRPr="004F66C7" w:rsidRDefault="000F4977" w:rsidP="00874E20">
            <w:pPr>
              <w:jc w:val="center"/>
              <w:rPr>
                <w:sz w:val="20"/>
                <w:szCs w:val="20"/>
              </w:rPr>
            </w:pPr>
            <w:r>
              <w:rPr>
                <w:sz w:val="20"/>
                <w:szCs w:val="20"/>
              </w:rPr>
              <w:t>Second Generation</w:t>
            </w:r>
          </w:p>
        </w:tc>
        <w:tc>
          <w:tcPr>
            <w:tcW w:w="918" w:type="pct"/>
          </w:tcPr>
          <w:p w14:paraId="452EE28B"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0=No 1=Yes</w:t>
            </w:r>
          </w:p>
        </w:tc>
        <w:tc>
          <w:tcPr>
            <w:tcW w:w="316" w:type="pct"/>
          </w:tcPr>
          <w:p w14:paraId="32B5C663" w14:textId="77777777" w:rsidR="000F4977" w:rsidRPr="004F66C7" w:rsidRDefault="000F4977" w:rsidP="00874E20">
            <w:pPr>
              <w:pStyle w:val="DecimalAligned"/>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0288A048"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.28</w:t>
            </w:r>
          </w:p>
        </w:tc>
        <w:tc>
          <w:tcPr>
            <w:tcW w:w="729" w:type="pct"/>
          </w:tcPr>
          <w:p w14:paraId="4E79953D"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.45</w:t>
            </w:r>
          </w:p>
        </w:tc>
      </w:tr>
      <w:tr w:rsidR="000F4977" w:rsidRPr="004F66C7" w14:paraId="42177D5E" w14:textId="77777777" w:rsidTr="00874E20">
        <w:trPr>
          <w:trHeight w:val="438"/>
        </w:trPr>
        <w:tc>
          <w:tcPr>
            <w:tcW w:w="831" w:type="pct"/>
          </w:tcPr>
          <w:p w14:paraId="43C1AE51" w14:textId="77777777" w:rsidR="000F4977" w:rsidRDefault="000F4977" w:rsidP="00874E20">
            <w:pPr>
              <w:jc w:val="center"/>
              <w:rPr>
                <w:sz w:val="20"/>
                <w:szCs w:val="20"/>
              </w:rPr>
            </w:pPr>
          </w:p>
        </w:tc>
        <w:tc>
          <w:tcPr>
            <w:tcW w:w="1478" w:type="pct"/>
            <w:noWrap/>
          </w:tcPr>
          <w:p w14:paraId="78494159" w14:textId="77777777" w:rsidR="000F4977" w:rsidRPr="004F66C7" w:rsidRDefault="000F4977" w:rsidP="00874E20">
            <w:pPr>
              <w:jc w:val="center"/>
              <w:rPr>
                <w:sz w:val="20"/>
                <w:szCs w:val="20"/>
              </w:rPr>
            </w:pPr>
            <w:r>
              <w:rPr>
                <w:sz w:val="20"/>
                <w:szCs w:val="20"/>
              </w:rPr>
              <w:t>Third Generation</w:t>
            </w:r>
          </w:p>
        </w:tc>
        <w:tc>
          <w:tcPr>
            <w:tcW w:w="918" w:type="pct"/>
          </w:tcPr>
          <w:p w14:paraId="2D5CF110"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Reference</w:t>
            </w:r>
          </w:p>
        </w:tc>
        <w:tc>
          <w:tcPr>
            <w:tcW w:w="316" w:type="pct"/>
          </w:tcPr>
          <w:p w14:paraId="6198C4B5" w14:textId="77777777" w:rsidR="000F4977" w:rsidRPr="004F66C7" w:rsidRDefault="000F4977" w:rsidP="00874E20">
            <w:pPr>
              <w:pStyle w:val="DecimalAligned"/>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3CBF420D" w14:textId="77777777" w:rsidR="000F4977" w:rsidRPr="004F66C7" w:rsidRDefault="000F4977" w:rsidP="00874E20">
            <w:pPr>
              <w:pStyle w:val="DecimalAligned"/>
              <w:rPr>
                <w:rFonts w:ascii="Times New Roman" w:hAnsi="Times New Roman" w:cs="Times New Roman"/>
                <w:sz w:val="20"/>
                <w:szCs w:val="20"/>
              </w:rPr>
            </w:pPr>
          </w:p>
        </w:tc>
        <w:tc>
          <w:tcPr>
            <w:tcW w:w="729" w:type="pct"/>
          </w:tcPr>
          <w:p w14:paraId="1055AE96" w14:textId="77777777" w:rsidR="000F4977" w:rsidRPr="004F66C7" w:rsidRDefault="000F4977" w:rsidP="00874E20">
            <w:pPr>
              <w:pStyle w:val="DecimalAligned"/>
              <w:rPr>
                <w:rFonts w:ascii="Times New Roman" w:hAnsi="Times New Roman" w:cs="Times New Roman"/>
                <w:sz w:val="20"/>
                <w:szCs w:val="20"/>
              </w:rPr>
            </w:pPr>
          </w:p>
        </w:tc>
      </w:tr>
      <w:tr w:rsidR="000F4977" w:rsidRPr="004F66C7" w14:paraId="1AC34163"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1A3166ED" w14:textId="77777777" w:rsidR="000F4977" w:rsidRPr="004F66C7" w:rsidRDefault="000F4977" w:rsidP="00874E20">
            <w:pPr>
              <w:rPr>
                <w:sz w:val="20"/>
                <w:szCs w:val="20"/>
              </w:rPr>
            </w:pPr>
          </w:p>
        </w:tc>
        <w:tc>
          <w:tcPr>
            <w:tcW w:w="1478" w:type="pct"/>
            <w:noWrap/>
          </w:tcPr>
          <w:p w14:paraId="74465B86" w14:textId="77777777" w:rsidR="000F4977" w:rsidRPr="004F66C7" w:rsidRDefault="000F4977" w:rsidP="00874E20">
            <w:pPr>
              <w:rPr>
                <w:sz w:val="20"/>
                <w:szCs w:val="20"/>
              </w:rPr>
            </w:pPr>
          </w:p>
        </w:tc>
        <w:tc>
          <w:tcPr>
            <w:tcW w:w="918" w:type="pct"/>
          </w:tcPr>
          <w:p w14:paraId="4A32242E" w14:textId="77777777" w:rsidR="000F4977" w:rsidRPr="004F66C7" w:rsidRDefault="000F4977" w:rsidP="00874E20">
            <w:pPr>
              <w:pStyle w:val="DecimalAligned"/>
              <w:rPr>
                <w:rFonts w:ascii="Times New Roman" w:hAnsi="Times New Roman" w:cs="Times New Roman"/>
                <w:sz w:val="20"/>
                <w:szCs w:val="20"/>
              </w:rPr>
            </w:pPr>
          </w:p>
        </w:tc>
        <w:tc>
          <w:tcPr>
            <w:tcW w:w="316" w:type="pct"/>
          </w:tcPr>
          <w:p w14:paraId="00A2E656" w14:textId="77777777" w:rsidR="000F4977" w:rsidRPr="004F66C7" w:rsidRDefault="000F4977" w:rsidP="00874E20">
            <w:pPr>
              <w:pStyle w:val="DecimalAligned"/>
              <w:rPr>
                <w:rFonts w:ascii="Times New Roman" w:hAnsi="Times New Roman" w:cs="Times New Roman"/>
                <w:sz w:val="20"/>
                <w:szCs w:val="20"/>
              </w:rPr>
            </w:pPr>
          </w:p>
        </w:tc>
        <w:tc>
          <w:tcPr>
            <w:tcW w:w="727" w:type="pct"/>
          </w:tcPr>
          <w:p w14:paraId="046B1AC2" w14:textId="77777777" w:rsidR="000F4977" w:rsidRPr="004F66C7" w:rsidRDefault="000F4977" w:rsidP="00874E20">
            <w:pPr>
              <w:pStyle w:val="DecimalAligned"/>
              <w:rPr>
                <w:rFonts w:ascii="Times New Roman" w:hAnsi="Times New Roman" w:cs="Times New Roman"/>
                <w:sz w:val="20"/>
                <w:szCs w:val="20"/>
              </w:rPr>
            </w:pPr>
          </w:p>
        </w:tc>
        <w:tc>
          <w:tcPr>
            <w:tcW w:w="729" w:type="pct"/>
          </w:tcPr>
          <w:p w14:paraId="1BEE29B8" w14:textId="77777777" w:rsidR="000F4977" w:rsidRPr="004F66C7" w:rsidRDefault="000F4977" w:rsidP="00874E20">
            <w:pPr>
              <w:pStyle w:val="DecimalAligned"/>
              <w:rPr>
                <w:rFonts w:ascii="Times New Roman" w:hAnsi="Times New Roman" w:cs="Times New Roman"/>
                <w:sz w:val="20"/>
                <w:szCs w:val="20"/>
              </w:rPr>
            </w:pPr>
          </w:p>
        </w:tc>
      </w:tr>
      <w:tr w:rsidR="000F4977" w:rsidRPr="004F66C7" w14:paraId="2E29E2AC" w14:textId="77777777" w:rsidTr="00874E20">
        <w:trPr>
          <w:trHeight w:val="458"/>
        </w:trPr>
        <w:tc>
          <w:tcPr>
            <w:tcW w:w="831" w:type="pct"/>
          </w:tcPr>
          <w:p w14:paraId="4FB04460" w14:textId="77777777" w:rsidR="000F4977" w:rsidRPr="00C51B6A" w:rsidRDefault="000F4977" w:rsidP="00874E20">
            <w:pPr>
              <w:jc w:val="center"/>
              <w:rPr>
                <w:b/>
                <w:sz w:val="20"/>
                <w:szCs w:val="20"/>
              </w:rPr>
            </w:pPr>
            <w:r>
              <w:rPr>
                <w:b/>
                <w:sz w:val="20"/>
                <w:szCs w:val="20"/>
              </w:rPr>
              <w:t>LEVEL 2</w:t>
            </w:r>
          </w:p>
        </w:tc>
        <w:tc>
          <w:tcPr>
            <w:tcW w:w="1478" w:type="pct"/>
            <w:noWrap/>
          </w:tcPr>
          <w:p w14:paraId="383BEB0F" w14:textId="77777777" w:rsidR="000F4977" w:rsidRPr="004F66C7" w:rsidRDefault="000F4977" w:rsidP="00874E20">
            <w:pPr>
              <w:rPr>
                <w:i/>
                <w:sz w:val="20"/>
                <w:szCs w:val="20"/>
              </w:rPr>
            </w:pPr>
            <w:r w:rsidRPr="004F66C7">
              <w:rPr>
                <w:i/>
                <w:sz w:val="20"/>
                <w:szCs w:val="20"/>
              </w:rPr>
              <w:t>Neighborhood-Level</w:t>
            </w:r>
          </w:p>
        </w:tc>
        <w:tc>
          <w:tcPr>
            <w:tcW w:w="918" w:type="pct"/>
          </w:tcPr>
          <w:p w14:paraId="6DB567F4" w14:textId="77777777" w:rsidR="000F4977" w:rsidRPr="004F66C7" w:rsidRDefault="000F4977" w:rsidP="00874E20">
            <w:pPr>
              <w:rPr>
                <w:rStyle w:val="SubtleEmphasis"/>
                <w:sz w:val="20"/>
                <w:szCs w:val="20"/>
              </w:rPr>
            </w:pPr>
          </w:p>
        </w:tc>
        <w:tc>
          <w:tcPr>
            <w:tcW w:w="316" w:type="pct"/>
          </w:tcPr>
          <w:p w14:paraId="6361DCBF" w14:textId="77777777" w:rsidR="000F4977" w:rsidRPr="004F66C7" w:rsidRDefault="000F4977" w:rsidP="00874E20">
            <w:pPr>
              <w:rPr>
                <w:rStyle w:val="SubtleEmphasis"/>
                <w:sz w:val="20"/>
                <w:szCs w:val="20"/>
              </w:rPr>
            </w:pPr>
          </w:p>
        </w:tc>
        <w:tc>
          <w:tcPr>
            <w:tcW w:w="727" w:type="pct"/>
          </w:tcPr>
          <w:p w14:paraId="3C5E74D0" w14:textId="77777777" w:rsidR="000F4977" w:rsidRPr="004F66C7" w:rsidRDefault="000F4977" w:rsidP="00874E20">
            <w:pPr>
              <w:rPr>
                <w:rStyle w:val="SubtleEmphasis"/>
                <w:sz w:val="20"/>
                <w:szCs w:val="20"/>
              </w:rPr>
            </w:pPr>
          </w:p>
        </w:tc>
        <w:tc>
          <w:tcPr>
            <w:tcW w:w="729" w:type="pct"/>
          </w:tcPr>
          <w:p w14:paraId="0EB418D9" w14:textId="77777777" w:rsidR="000F4977" w:rsidRPr="004F66C7" w:rsidRDefault="000F4977" w:rsidP="00874E20">
            <w:pPr>
              <w:rPr>
                <w:rStyle w:val="SubtleEmphasis"/>
                <w:sz w:val="20"/>
                <w:szCs w:val="20"/>
              </w:rPr>
            </w:pPr>
          </w:p>
        </w:tc>
      </w:tr>
      <w:tr w:rsidR="000F4977" w:rsidRPr="004F66C7" w14:paraId="26E57F1C" w14:textId="77777777" w:rsidTr="00874E20">
        <w:trPr>
          <w:cnfStyle w:val="000000100000" w:firstRow="0" w:lastRow="0" w:firstColumn="0" w:lastColumn="0" w:oddVBand="0" w:evenVBand="0" w:oddHBand="1" w:evenHBand="0" w:firstRowFirstColumn="0" w:firstRowLastColumn="0" w:lastRowFirstColumn="0" w:lastRowLastColumn="0"/>
          <w:trHeight w:val="240"/>
        </w:trPr>
        <w:tc>
          <w:tcPr>
            <w:tcW w:w="831" w:type="pct"/>
          </w:tcPr>
          <w:p w14:paraId="17E9AFE9" w14:textId="77777777" w:rsidR="000F4977" w:rsidRPr="004F66C7" w:rsidRDefault="000F4977" w:rsidP="00874E20">
            <w:pPr>
              <w:jc w:val="center"/>
              <w:rPr>
                <w:sz w:val="20"/>
                <w:szCs w:val="20"/>
              </w:rPr>
            </w:pPr>
          </w:p>
        </w:tc>
        <w:tc>
          <w:tcPr>
            <w:tcW w:w="1478" w:type="pct"/>
            <w:noWrap/>
          </w:tcPr>
          <w:p w14:paraId="7B0E45CC" w14:textId="77777777" w:rsidR="000F4977" w:rsidRPr="004F66C7" w:rsidRDefault="000F4977" w:rsidP="00874E20">
            <w:pPr>
              <w:jc w:val="center"/>
              <w:rPr>
                <w:sz w:val="20"/>
                <w:szCs w:val="20"/>
              </w:rPr>
            </w:pPr>
            <w:r w:rsidRPr="004F66C7">
              <w:rPr>
                <w:sz w:val="20"/>
                <w:szCs w:val="20"/>
              </w:rPr>
              <w:t xml:space="preserve">Quantitative Enclavishness </w:t>
            </w:r>
          </w:p>
          <w:p w14:paraId="6D98A03D" w14:textId="77777777" w:rsidR="000F4977" w:rsidRPr="004F66C7" w:rsidRDefault="000F4977" w:rsidP="00874E20">
            <w:pPr>
              <w:jc w:val="center"/>
              <w:rPr>
                <w:sz w:val="20"/>
                <w:szCs w:val="20"/>
              </w:rPr>
            </w:pPr>
            <w:r w:rsidRPr="004F66C7">
              <w:rPr>
                <w:sz w:val="20"/>
                <w:szCs w:val="20"/>
              </w:rPr>
              <w:t>Scale</w:t>
            </w:r>
            <w:r>
              <w:rPr>
                <w:sz w:val="20"/>
                <w:szCs w:val="20"/>
              </w:rPr>
              <w:t xml:space="preserve"> Low</w:t>
            </w:r>
          </w:p>
        </w:tc>
        <w:tc>
          <w:tcPr>
            <w:tcW w:w="918" w:type="pct"/>
          </w:tcPr>
          <w:p w14:paraId="13482B0A"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0=No 1=Yes</w:t>
            </w:r>
          </w:p>
        </w:tc>
        <w:tc>
          <w:tcPr>
            <w:tcW w:w="316" w:type="pct"/>
          </w:tcPr>
          <w:p w14:paraId="52A7E13E"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0D78F3B9"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.30</w:t>
            </w:r>
          </w:p>
        </w:tc>
        <w:tc>
          <w:tcPr>
            <w:tcW w:w="729" w:type="pct"/>
          </w:tcPr>
          <w:p w14:paraId="742ABEC5"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.47</w:t>
            </w:r>
          </w:p>
        </w:tc>
      </w:tr>
      <w:tr w:rsidR="000F4977" w:rsidRPr="004F66C7" w14:paraId="6F7F2F7C" w14:textId="77777777" w:rsidTr="00874E20">
        <w:trPr>
          <w:trHeight w:val="240"/>
        </w:trPr>
        <w:tc>
          <w:tcPr>
            <w:tcW w:w="831" w:type="pct"/>
          </w:tcPr>
          <w:p w14:paraId="4D4A0C18" w14:textId="77777777" w:rsidR="000F4977" w:rsidRPr="004F66C7" w:rsidRDefault="000F4977" w:rsidP="00874E20">
            <w:pPr>
              <w:jc w:val="center"/>
              <w:rPr>
                <w:sz w:val="20"/>
                <w:szCs w:val="20"/>
              </w:rPr>
            </w:pPr>
          </w:p>
        </w:tc>
        <w:tc>
          <w:tcPr>
            <w:tcW w:w="1478" w:type="pct"/>
            <w:noWrap/>
          </w:tcPr>
          <w:p w14:paraId="2CBED407" w14:textId="77777777" w:rsidR="000F4977" w:rsidRPr="004F66C7" w:rsidRDefault="000F4977" w:rsidP="00874E20">
            <w:pPr>
              <w:jc w:val="center"/>
              <w:rPr>
                <w:sz w:val="20"/>
                <w:szCs w:val="20"/>
              </w:rPr>
            </w:pPr>
            <w:r w:rsidRPr="004F66C7">
              <w:rPr>
                <w:sz w:val="20"/>
                <w:szCs w:val="20"/>
              </w:rPr>
              <w:t xml:space="preserve">Quantitative Enclavishness </w:t>
            </w:r>
          </w:p>
          <w:p w14:paraId="2FD8EC2E" w14:textId="77777777" w:rsidR="000F4977" w:rsidRPr="004F66C7" w:rsidRDefault="000F4977" w:rsidP="00874E20">
            <w:pPr>
              <w:jc w:val="center"/>
              <w:rPr>
                <w:sz w:val="20"/>
                <w:szCs w:val="20"/>
              </w:rPr>
            </w:pPr>
            <w:r w:rsidRPr="004F66C7">
              <w:rPr>
                <w:sz w:val="20"/>
                <w:szCs w:val="20"/>
              </w:rPr>
              <w:t>Scale</w:t>
            </w:r>
            <w:r>
              <w:rPr>
                <w:sz w:val="20"/>
                <w:szCs w:val="20"/>
              </w:rPr>
              <w:t xml:space="preserve"> Medium</w:t>
            </w:r>
          </w:p>
        </w:tc>
        <w:tc>
          <w:tcPr>
            <w:tcW w:w="918" w:type="pct"/>
          </w:tcPr>
          <w:p w14:paraId="2FE9802C"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0=No 1=Yes</w:t>
            </w:r>
          </w:p>
        </w:tc>
        <w:tc>
          <w:tcPr>
            <w:tcW w:w="316" w:type="pct"/>
          </w:tcPr>
          <w:p w14:paraId="2BE6DB32"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5273E461"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.33</w:t>
            </w:r>
          </w:p>
        </w:tc>
        <w:tc>
          <w:tcPr>
            <w:tcW w:w="729" w:type="pct"/>
          </w:tcPr>
          <w:p w14:paraId="430D4790"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.47</w:t>
            </w:r>
          </w:p>
        </w:tc>
      </w:tr>
      <w:tr w:rsidR="000F4977" w:rsidRPr="004F66C7" w14:paraId="7980D517" w14:textId="77777777" w:rsidTr="00874E20">
        <w:trPr>
          <w:cnfStyle w:val="000000100000" w:firstRow="0" w:lastRow="0" w:firstColumn="0" w:lastColumn="0" w:oddVBand="0" w:evenVBand="0" w:oddHBand="1" w:evenHBand="0" w:firstRowFirstColumn="0" w:firstRowLastColumn="0" w:lastRowFirstColumn="0" w:lastRowLastColumn="0"/>
          <w:trHeight w:val="240"/>
        </w:trPr>
        <w:tc>
          <w:tcPr>
            <w:tcW w:w="831" w:type="pct"/>
          </w:tcPr>
          <w:p w14:paraId="7D4D8F85" w14:textId="77777777" w:rsidR="000F4977" w:rsidRPr="004F66C7" w:rsidRDefault="000F4977" w:rsidP="00874E20">
            <w:pPr>
              <w:jc w:val="center"/>
              <w:rPr>
                <w:sz w:val="20"/>
                <w:szCs w:val="20"/>
              </w:rPr>
            </w:pPr>
          </w:p>
        </w:tc>
        <w:tc>
          <w:tcPr>
            <w:tcW w:w="1478" w:type="pct"/>
            <w:noWrap/>
          </w:tcPr>
          <w:p w14:paraId="2387DBAD" w14:textId="77777777" w:rsidR="000F4977" w:rsidRPr="004F66C7" w:rsidRDefault="000F4977" w:rsidP="00874E20">
            <w:pPr>
              <w:jc w:val="center"/>
              <w:rPr>
                <w:sz w:val="20"/>
                <w:szCs w:val="20"/>
              </w:rPr>
            </w:pPr>
            <w:r w:rsidRPr="004F66C7">
              <w:rPr>
                <w:sz w:val="20"/>
                <w:szCs w:val="20"/>
              </w:rPr>
              <w:t xml:space="preserve">Quantitative Enclavishness </w:t>
            </w:r>
          </w:p>
          <w:p w14:paraId="2E034727" w14:textId="77777777" w:rsidR="000F4977" w:rsidRPr="004F66C7" w:rsidRDefault="000F4977" w:rsidP="00874E20">
            <w:pPr>
              <w:jc w:val="center"/>
              <w:rPr>
                <w:sz w:val="20"/>
                <w:szCs w:val="20"/>
              </w:rPr>
            </w:pPr>
            <w:r w:rsidRPr="004F66C7">
              <w:rPr>
                <w:sz w:val="20"/>
                <w:szCs w:val="20"/>
              </w:rPr>
              <w:t xml:space="preserve">Scale Large  </w:t>
            </w:r>
          </w:p>
        </w:tc>
        <w:tc>
          <w:tcPr>
            <w:tcW w:w="918" w:type="pct"/>
          </w:tcPr>
          <w:p w14:paraId="4ECD6BB3"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 xml:space="preserve">Reference </w:t>
            </w:r>
          </w:p>
        </w:tc>
        <w:tc>
          <w:tcPr>
            <w:tcW w:w="316" w:type="pct"/>
          </w:tcPr>
          <w:p w14:paraId="39A98546"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376AA0B4"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.37</w:t>
            </w:r>
          </w:p>
        </w:tc>
        <w:tc>
          <w:tcPr>
            <w:tcW w:w="729" w:type="pct"/>
          </w:tcPr>
          <w:p w14:paraId="10A3DDCE"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.49</w:t>
            </w:r>
          </w:p>
        </w:tc>
      </w:tr>
      <w:tr w:rsidR="000F4977" w:rsidRPr="004F66C7" w14:paraId="14E670AD" w14:textId="77777777" w:rsidTr="00874E20">
        <w:trPr>
          <w:trHeight w:val="240"/>
        </w:trPr>
        <w:tc>
          <w:tcPr>
            <w:tcW w:w="831" w:type="pct"/>
          </w:tcPr>
          <w:p w14:paraId="5E7BC878" w14:textId="77777777" w:rsidR="000F4977" w:rsidRPr="004F66C7" w:rsidRDefault="000F4977" w:rsidP="00874E20">
            <w:pPr>
              <w:jc w:val="center"/>
              <w:rPr>
                <w:sz w:val="20"/>
                <w:szCs w:val="20"/>
              </w:rPr>
            </w:pPr>
          </w:p>
        </w:tc>
        <w:tc>
          <w:tcPr>
            <w:tcW w:w="1478" w:type="pct"/>
            <w:noWrap/>
          </w:tcPr>
          <w:p w14:paraId="4DC679D6" w14:textId="77777777" w:rsidR="000F4977" w:rsidRPr="004F66C7" w:rsidRDefault="000F4977" w:rsidP="00874E20">
            <w:pPr>
              <w:jc w:val="center"/>
              <w:rPr>
                <w:sz w:val="20"/>
                <w:szCs w:val="20"/>
              </w:rPr>
            </w:pPr>
            <w:r w:rsidRPr="004F66C7">
              <w:rPr>
                <w:sz w:val="20"/>
                <w:szCs w:val="20"/>
              </w:rPr>
              <w:t xml:space="preserve">Percent of Household that earn </w:t>
            </w:r>
          </w:p>
          <w:p w14:paraId="523CE334" w14:textId="77777777" w:rsidR="000F4977" w:rsidRPr="004F66C7" w:rsidRDefault="000F4977" w:rsidP="00874E20">
            <w:pPr>
              <w:jc w:val="center"/>
              <w:rPr>
                <w:sz w:val="20"/>
                <w:szCs w:val="20"/>
              </w:rPr>
            </w:pPr>
            <w:r w:rsidRPr="004F66C7">
              <w:rPr>
                <w:sz w:val="20"/>
                <w:szCs w:val="20"/>
              </w:rPr>
              <w:t xml:space="preserve">less than $10,000 </w:t>
            </w:r>
          </w:p>
        </w:tc>
        <w:tc>
          <w:tcPr>
            <w:tcW w:w="918" w:type="pct"/>
          </w:tcPr>
          <w:p w14:paraId="04E52147"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Continuous</w:t>
            </w:r>
          </w:p>
        </w:tc>
        <w:tc>
          <w:tcPr>
            <w:tcW w:w="316" w:type="pct"/>
          </w:tcPr>
          <w:p w14:paraId="653A5D09"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0B0FFD9C"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11.42</w:t>
            </w:r>
          </w:p>
        </w:tc>
        <w:tc>
          <w:tcPr>
            <w:tcW w:w="729" w:type="pct"/>
          </w:tcPr>
          <w:p w14:paraId="7F810D41" w14:textId="77777777" w:rsidR="000F4977" w:rsidRPr="004F66C7" w:rsidRDefault="000F4977" w:rsidP="00874E20">
            <w:pPr>
              <w:pStyle w:val="DecimalAligned"/>
              <w:jc w:val="center"/>
              <w:rPr>
                <w:rFonts w:ascii="Times New Roman" w:hAnsi="Times New Roman" w:cs="Times New Roman"/>
                <w:sz w:val="20"/>
                <w:szCs w:val="20"/>
              </w:rPr>
            </w:pPr>
            <w:r>
              <w:rPr>
                <w:rFonts w:ascii="Times New Roman" w:hAnsi="Times New Roman" w:cs="Times New Roman"/>
                <w:sz w:val="20"/>
                <w:szCs w:val="20"/>
              </w:rPr>
              <w:t>8.32</w:t>
            </w:r>
          </w:p>
        </w:tc>
      </w:tr>
      <w:tr w:rsidR="000F4977" w:rsidRPr="004F66C7" w14:paraId="0111C804" w14:textId="77777777" w:rsidTr="00874E20">
        <w:trPr>
          <w:cnfStyle w:val="010000000000" w:firstRow="0" w:lastRow="1" w:firstColumn="0" w:lastColumn="0" w:oddVBand="0" w:evenVBand="0" w:oddHBand="0" w:evenHBand="0" w:firstRowFirstColumn="0" w:firstRowLastColumn="0" w:lastRowFirstColumn="0" w:lastRowLastColumn="0"/>
          <w:trHeight w:val="240"/>
        </w:trPr>
        <w:tc>
          <w:tcPr>
            <w:tcW w:w="831" w:type="pct"/>
          </w:tcPr>
          <w:p w14:paraId="677D4C46" w14:textId="77777777" w:rsidR="000F4977" w:rsidRPr="004F66C7" w:rsidRDefault="000F4977" w:rsidP="00874E20">
            <w:pPr>
              <w:rPr>
                <w:sz w:val="20"/>
                <w:szCs w:val="20"/>
              </w:rPr>
            </w:pPr>
          </w:p>
        </w:tc>
        <w:tc>
          <w:tcPr>
            <w:tcW w:w="1478" w:type="pct"/>
            <w:noWrap/>
          </w:tcPr>
          <w:p w14:paraId="4CE418CF" w14:textId="77777777" w:rsidR="000F4977" w:rsidRPr="004F66C7" w:rsidRDefault="000F4977" w:rsidP="00874E20">
            <w:pPr>
              <w:rPr>
                <w:sz w:val="20"/>
                <w:szCs w:val="20"/>
              </w:rPr>
            </w:pPr>
          </w:p>
        </w:tc>
        <w:tc>
          <w:tcPr>
            <w:tcW w:w="918" w:type="pct"/>
          </w:tcPr>
          <w:p w14:paraId="65988EF2" w14:textId="77777777" w:rsidR="000F4977" w:rsidRPr="004F66C7" w:rsidRDefault="000F4977" w:rsidP="00874E20">
            <w:pPr>
              <w:pStyle w:val="DecimalAligned"/>
              <w:rPr>
                <w:rFonts w:ascii="Times New Roman" w:hAnsi="Times New Roman" w:cs="Times New Roman"/>
                <w:sz w:val="20"/>
                <w:szCs w:val="20"/>
              </w:rPr>
            </w:pPr>
          </w:p>
        </w:tc>
        <w:tc>
          <w:tcPr>
            <w:tcW w:w="316" w:type="pct"/>
          </w:tcPr>
          <w:p w14:paraId="28B0BA46" w14:textId="77777777" w:rsidR="000F4977" w:rsidRPr="004F66C7" w:rsidRDefault="000F4977" w:rsidP="00874E20">
            <w:pPr>
              <w:pStyle w:val="DecimalAligned"/>
              <w:rPr>
                <w:rFonts w:ascii="Times New Roman" w:hAnsi="Times New Roman" w:cs="Times New Roman"/>
                <w:sz w:val="20"/>
                <w:szCs w:val="20"/>
              </w:rPr>
            </w:pPr>
          </w:p>
        </w:tc>
        <w:tc>
          <w:tcPr>
            <w:tcW w:w="727" w:type="pct"/>
          </w:tcPr>
          <w:p w14:paraId="1EE6D989" w14:textId="77777777" w:rsidR="000F4977" w:rsidRPr="004F66C7" w:rsidRDefault="000F4977" w:rsidP="00874E20">
            <w:pPr>
              <w:pStyle w:val="DecimalAligned"/>
              <w:rPr>
                <w:rFonts w:ascii="Times New Roman" w:hAnsi="Times New Roman" w:cs="Times New Roman"/>
                <w:sz w:val="20"/>
                <w:szCs w:val="20"/>
              </w:rPr>
            </w:pPr>
          </w:p>
        </w:tc>
        <w:tc>
          <w:tcPr>
            <w:tcW w:w="729" w:type="pct"/>
          </w:tcPr>
          <w:p w14:paraId="193428E6" w14:textId="77777777" w:rsidR="000F4977" w:rsidRPr="004F66C7" w:rsidRDefault="000F4977" w:rsidP="00874E20">
            <w:pPr>
              <w:pStyle w:val="DecimalAligned"/>
              <w:rPr>
                <w:rFonts w:ascii="Times New Roman" w:hAnsi="Times New Roman" w:cs="Times New Roman"/>
                <w:sz w:val="20"/>
                <w:szCs w:val="20"/>
              </w:rPr>
            </w:pPr>
          </w:p>
        </w:tc>
      </w:tr>
    </w:tbl>
    <w:p w14:paraId="519E5F1F" w14:textId="77777777" w:rsidR="000F4977" w:rsidRDefault="000F4977" w:rsidP="000F4977">
      <w:pPr>
        <w:spacing w:line="480" w:lineRule="auto"/>
      </w:pPr>
    </w:p>
    <w:p w14:paraId="43B3F91C" w14:textId="77777777" w:rsidR="000F4977" w:rsidRDefault="000F4977" w:rsidP="00A62F0B">
      <w:pPr>
        <w:spacing w:line="480" w:lineRule="auto"/>
        <w:ind w:firstLine="720"/>
      </w:pPr>
    </w:p>
    <w:p w14:paraId="6A6880A2" w14:textId="77777777" w:rsidR="000F4977" w:rsidRDefault="000F4977" w:rsidP="00A62F0B">
      <w:pPr>
        <w:spacing w:line="480" w:lineRule="auto"/>
        <w:ind w:firstLine="720"/>
      </w:pPr>
    </w:p>
    <w:p w14:paraId="02655D0E" w14:textId="3B62EE2D" w:rsidR="00AB747E" w:rsidRDefault="00AB747E" w:rsidP="00903936">
      <w:pPr>
        <w:spacing w:line="480" w:lineRule="auto"/>
        <w:ind w:firstLine="720"/>
      </w:pPr>
      <w:r w:rsidRPr="009D2ED7">
        <w:rPr>
          <w:rFonts w:eastAsia="Calibri"/>
        </w:rPr>
        <w:lastRenderedPageBreak/>
        <w:t xml:space="preserve">To capture neighborhood poverty, </w:t>
      </w:r>
      <w:r w:rsidR="00903936">
        <w:rPr>
          <w:rFonts w:eastAsia="Calibri"/>
        </w:rPr>
        <w:t>we u</w:t>
      </w:r>
      <w:r w:rsidRPr="009D2ED7">
        <w:rPr>
          <w:rFonts w:eastAsia="Calibri"/>
        </w:rPr>
        <w:t>sed ACS</w:t>
      </w:r>
      <w:r w:rsidR="009D2ED7" w:rsidRPr="009D2ED7">
        <w:rPr>
          <w:rFonts w:eastAsia="Calibri"/>
        </w:rPr>
        <w:t xml:space="preserve"> (2015) </w:t>
      </w:r>
      <w:r w:rsidR="00903936">
        <w:rPr>
          <w:rFonts w:eastAsia="Calibri"/>
        </w:rPr>
        <w:t xml:space="preserve">5-year (2008-2012) </w:t>
      </w:r>
      <w:r w:rsidRPr="00983937">
        <w:t xml:space="preserve">census data </w:t>
      </w:r>
      <w:r w:rsidR="00903936">
        <w:t xml:space="preserve">pertaining to each neighborhood cluster.  </w:t>
      </w:r>
      <w:r w:rsidR="009C23ED">
        <w:t xml:space="preserve">Specifically, the poverty variable is a continuous variable based on ACS data on </w:t>
      </w:r>
      <w:r w:rsidR="00903936">
        <w:t xml:space="preserve">the </w:t>
      </w:r>
      <w:r w:rsidR="009D2ED7">
        <w:t>p</w:t>
      </w:r>
      <w:r w:rsidR="009D2ED7">
        <w:rPr>
          <w:color w:val="000000"/>
        </w:rPr>
        <w:t xml:space="preserve">ercent </w:t>
      </w:r>
      <w:r w:rsidR="00903936">
        <w:rPr>
          <w:color w:val="000000"/>
        </w:rPr>
        <w:t xml:space="preserve">of </w:t>
      </w:r>
      <w:r w:rsidR="009D2ED7">
        <w:rPr>
          <w:color w:val="000000"/>
        </w:rPr>
        <w:t>h</w:t>
      </w:r>
      <w:r w:rsidR="009D2ED7" w:rsidRPr="009D2ED7">
        <w:rPr>
          <w:color w:val="000000"/>
        </w:rPr>
        <w:t xml:space="preserve">ouseholds that </w:t>
      </w:r>
      <w:r w:rsidR="009D2ED7">
        <w:rPr>
          <w:color w:val="000000"/>
        </w:rPr>
        <w:t>earn l</w:t>
      </w:r>
      <w:r w:rsidR="009D2ED7" w:rsidRPr="009D2ED7">
        <w:rPr>
          <w:color w:val="000000"/>
        </w:rPr>
        <w:t xml:space="preserve">ess </w:t>
      </w:r>
      <w:r w:rsidR="009D2ED7">
        <w:rPr>
          <w:color w:val="000000"/>
        </w:rPr>
        <w:t>than 10,000 dollars</w:t>
      </w:r>
      <w:r w:rsidR="009C23ED">
        <w:rPr>
          <w:color w:val="000000"/>
        </w:rPr>
        <w:t xml:space="preserve"> that pertains to each neighborhood cluster (census tract</w:t>
      </w:r>
      <w:r w:rsidR="00FE7349">
        <w:rPr>
          <w:color w:val="000000"/>
        </w:rPr>
        <w:t>(</w:t>
      </w:r>
      <w:r w:rsidR="009C23ED">
        <w:rPr>
          <w:color w:val="000000"/>
        </w:rPr>
        <w:t>s</w:t>
      </w:r>
      <w:r w:rsidR="00FE7349">
        <w:rPr>
          <w:color w:val="000000"/>
        </w:rPr>
        <w:t>)</w:t>
      </w:r>
      <w:r w:rsidR="009C23ED">
        <w:rPr>
          <w:color w:val="000000"/>
        </w:rPr>
        <w:t xml:space="preserve">).  </w:t>
      </w:r>
      <w:r w:rsidRPr="00983937">
        <w:t xml:space="preserve">For </w:t>
      </w:r>
      <w:r w:rsidR="009C23ED">
        <w:t xml:space="preserve">neighborhood </w:t>
      </w:r>
      <w:r w:rsidRPr="00983937">
        <w:t>clusters with more than one tract, the data for these clusters were averaged across tracts</w:t>
      </w:r>
      <w:r w:rsidR="00903936">
        <w:t xml:space="preserve">.  </w:t>
      </w:r>
    </w:p>
    <w:p w14:paraId="19D988F3" w14:textId="77777777" w:rsidR="00DA4EEA" w:rsidRPr="009B7924" w:rsidRDefault="00DA4EEA" w:rsidP="006D278C">
      <w:pPr>
        <w:spacing w:line="480" w:lineRule="auto"/>
        <w:rPr>
          <w:rFonts w:eastAsia="Calibri"/>
          <w:u w:val="single"/>
        </w:rPr>
      </w:pPr>
      <w:r w:rsidRPr="009B7924">
        <w:rPr>
          <w:rFonts w:eastAsia="Calibri"/>
          <w:u w:val="single"/>
        </w:rPr>
        <w:t xml:space="preserve">HGLM Analysis </w:t>
      </w:r>
    </w:p>
    <w:p w14:paraId="71470D1D" w14:textId="1D4E54A1" w:rsidR="009C414C" w:rsidRDefault="00763F2D" w:rsidP="00763F2D">
      <w:pPr>
        <w:spacing w:line="480" w:lineRule="auto"/>
        <w:ind w:firstLine="720"/>
        <w:rPr>
          <w:rFonts w:eastAsia="Calibri"/>
        </w:rPr>
      </w:pPr>
      <w:r>
        <w:rPr>
          <w:rFonts w:eastAsia="Calibri"/>
        </w:rPr>
        <w:t xml:space="preserve">Hierarchical linear modeling analysis is required since </w:t>
      </w:r>
      <w:r w:rsidR="003C2456" w:rsidRPr="00047719">
        <w:rPr>
          <w:rFonts w:eastAsia="Calibri"/>
        </w:rPr>
        <w:t>individuals are nested in neighborhoods and not randomly distributed</w:t>
      </w:r>
      <w:r>
        <w:rPr>
          <w:rFonts w:eastAsia="Calibri"/>
        </w:rPr>
        <w:t xml:space="preserve"> </w:t>
      </w:r>
      <w:r w:rsidR="003C2456" w:rsidRPr="00047719">
        <w:rPr>
          <w:rFonts w:eastAsia="Calibri"/>
        </w:rPr>
        <w:t>(Bryk and Raudenbush</w:t>
      </w:r>
      <w:r w:rsidR="009B7924">
        <w:rPr>
          <w:rFonts w:eastAsia="Calibri"/>
        </w:rPr>
        <w:t>,</w:t>
      </w:r>
      <w:r w:rsidR="003C2456" w:rsidRPr="00047719">
        <w:rPr>
          <w:rFonts w:eastAsia="Calibri"/>
        </w:rPr>
        <w:t xml:space="preserve"> 1992)</w:t>
      </w:r>
      <w:r>
        <w:rPr>
          <w:rFonts w:eastAsia="Calibri"/>
        </w:rPr>
        <w:t>.</w:t>
      </w:r>
      <w:r w:rsidR="003C2456" w:rsidRPr="00047719">
        <w:rPr>
          <w:rFonts w:eastAsia="Calibri"/>
        </w:rPr>
        <w:t xml:space="preserve">  </w:t>
      </w:r>
      <w:r>
        <w:rPr>
          <w:rFonts w:eastAsia="Calibri"/>
        </w:rPr>
        <w:t xml:space="preserve">Multilevel data violates that assumption that low-level observations are independent leading to biased standard errors, inflated Type I errors, and even incorrect inferences thus multilevel techniques are suitable for this study (Hox 2010).  Multilevel modeling was applied to cluster structures, indicating that individuals (Level 1) are nested within neighborhoods (Level 2) and can exert cross-level interactions effects.  </w:t>
      </w:r>
    </w:p>
    <w:p w14:paraId="2CCB88F4" w14:textId="47ACF43A" w:rsidR="003A120D" w:rsidRDefault="00763F2D" w:rsidP="00763F2D">
      <w:pPr>
        <w:spacing w:line="480" w:lineRule="auto"/>
        <w:ind w:firstLine="720"/>
        <w:rPr>
          <w:rFonts w:eastAsia="Calibri"/>
        </w:rPr>
      </w:pPr>
      <w:r>
        <w:rPr>
          <w:rFonts w:eastAsia="Calibri"/>
        </w:rPr>
        <w:t xml:space="preserve">Since our </w:t>
      </w:r>
      <w:r w:rsidR="00693F46">
        <w:rPr>
          <w:rFonts w:eastAsia="Calibri"/>
        </w:rPr>
        <w:t>dependent</w:t>
      </w:r>
      <w:r>
        <w:rPr>
          <w:rFonts w:eastAsia="Calibri"/>
        </w:rPr>
        <w:t>/outcome</w:t>
      </w:r>
      <w:r w:rsidR="00693F46">
        <w:rPr>
          <w:rFonts w:eastAsia="Calibri"/>
        </w:rPr>
        <w:t xml:space="preserve"> variable </w:t>
      </w:r>
      <w:r>
        <w:rPr>
          <w:rFonts w:eastAsia="Calibri"/>
        </w:rPr>
        <w:t xml:space="preserve">is binary </w:t>
      </w:r>
      <w:r w:rsidR="00693F46">
        <w:rPr>
          <w:rFonts w:eastAsia="Calibri"/>
        </w:rPr>
        <w:t>it is appropriate to use multilevel logistic regression also referred to as hierarchical generalized linear models (HGLMs) to analyze nonlinear structural models (Raudenbush and Bryk</w:t>
      </w:r>
      <w:r w:rsidR="00A62F0B">
        <w:rPr>
          <w:rFonts w:eastAsia="Calibri"/>
        </w:rPr>
        <w:t>,</w:t>
      </w:r>
      <w:r w:rsidR="00693F46">
        <w:rPr>
          <w:rFonts w:eastAsia="Calibri"/>
        </w:rPr>
        <w:t xml:space="preserve"> 2002).  </w:t>
      </w:r>
      <w:r w:rsidR="00650ADD">
        <w:rPr>
          <w:rFonts w:eastAsia="Calibri"/>
        </w:rPr>
        <w:t xml:space="preserve">Unlike HLM, HGLM use a binomial level-1 sampling model and a logit link.  </w:t>
      </w:r>
      <w:r>
        <w:rPr>
          <w:rFonts w:eastAsia="Calibri"/>
        </w:rPr>
        <w:t xml:space="preserve">We are interested in the </w:t>
      </w:r>
      <w:r w:rsidR="003A120D">
        <w:rPr>
          <w:rFonts w:eastAsia="Calibri"/>
        </w:rPr>
        <w:t xml:space="preserve">probability of law enforcement </w:t>
      </w:r>
      <w:r w:rsidR="00A62F0B">
        <w:rPr>
          <w:rFonts w:eastAsia="Calibri"/>
        </w:rPr>
        <w:t xml:space="preserve">asking </w:t>
      </w:r>
      <w:r w:rsidR="003A120D">
        <w:rPr>
          <w:rFonts w:eastAsia="Calibri"/>
        </w:rPr>
        <w:t xml:space="preserve">about citizenship (1 if yes, 0 if no) and every level-1 record corresponds to a person with a single binary outcome so the model type is Bernoulli (Raudenbush et al., 2011).  </w:t>
      </w:r>
      <w:r w:rsidR="000A2B25">
        <w:t xml:space="preserve">We used Bernoulli distribution because the dependent variable is binary and </w:t>
      </w:r>
      <w:r w:rsidR="003F6D8E">
        <w:t xml:space="preserve">EM Laplace iterations to produce a unit-specific model of EM Laplace estimation output.  </w:t>
      </w:r>
      <w:r w:rsidR="00402BFC">
        <w:t xml:space="preserve">  </w:t>
      </w:r>
    </w:p>
    <w:p w14:paraId="0D0BBF9D" w14:textId="0DDFD965" w:rsidR="008D652D" w:rsidRDefault="00637CA5" w:rsidP="00394DDF">
      <w:pPr>
        <w:spacing w:line="480" w:lineRule="auto"/>
        <w:rPr>
          <w:rFonts w:eastAsia="Calibri"/>
        </w:rPr>
      </w:pPr>
      <w:r>
        <w:rPr>
          <w:rFonts w:eastAsia="Calibri"/>
        </w:rPr>
        <w:tab/>
      </w:r>
      <w:r w:rsidR="00402BFC">
        <w:rPr>
          <w:rFonts w:eastAsia="Calibri"/>
        </w:rPr>
        <w:t>Three m</w:t>
      </w:r>
      <w:r>
        <w:rPr>
          <w:rFonts w:eastAsia="Calibri"/>
        </w:rPr>
        <w:t xml:space="preserve">odels were used in this study.  A null model (Model 1) </w:t>
      </w:r>
      <w:r w:rsidR="008D652D">
        <w:rPr>
          <w:rFonts w:eastAsia="Calibri"/>
        </w:rPr>
        <w:t xml:space="preserve">examined the utility of multilevel modeling (Hox, 2010) and </w:t>
      </w:r>
      <w:r>
        <w:rPr>
          <w:rFonts w:eastAsia="Calibri"/>
        </w:rPr>
        <w:t xml:space="preserve">served as the benchmark for comparison </w:t>
      </w:r>
      <w:r w:rsidR="007D0640">
        <w:rPr>
          <w:rFonts w:eastAsia="Calibri"/>
        </w:rPr>
        <w:t xml:space="preserve">with the </w:t>
      </w:r>
      <w:r>
        <w:rPr>
          <w:rFonts w:eastAsia="Calibri"/>
        </w:rPr>
        <w:t xml:space="preserve">other </w:t>
      </w:r>
      <w:r>
        <w:rPr>
          <w:rFonts w:eastAsia="Calibri"/>
        </w:rPr>
        <w:lastRenderedPageBreak/>
        <w:t>models</w:t>
      </w:r>
      <w:r w:rsidR="008D652D">
        <w:rPr>
          <w:rFonts w:eastAsia="Calibri"/>
        </w:rPr>
        <w:t>.  W</w:t>
      </w:r>
      <w:r w:rsidR="003F6D8E">
        <w:t xml:space="preserve">e </w:t>
      </w:r>
      <w:r w:rsidR="008D652D">
        <w:t xml:space="preserve">then </w:t>
      </w:r>
      <w:r w:rsidR="003F6D8E">
        <w:t xml:space="preserve">ran a random coefficients model </w:t>
      </w:r>
      <w:r w:rsidR="00FE7349">
        <w:t xml:space="preserve">(Model 2) </w:t>
      </w:r>
      <w:r w:rsidR="003F6D8E">
        <w:t>with Level</w:t>
      </w:r>
      <w:r w:rsidR="00394DDF">
        <w:t>-</w:t>
      </w:r>
      <w:r w:rsidR="003F6D8E">
        <w:t xml:space="preserve">l predictors so that we could assess whether any of the slopes were significantly different from zero when allowed to vary across </w:t>
      </w:r>
      <w:r w:rsidR="00394DDF">
        <w:t xml:space="preserve">neighborhoods.  This model was used to explore whether the individual-level factors contribute to </w:t>
      </w:r>
      <w:r>
        <w:rPr>
          <w:rFonts w:eastAsia="Calibri"/>
        </w:rPr>
        <w:t>law enforcement ask</w:t>
      </w:r>
      <w:r w:rsidR="00394DDF">
        <w:rPr>
          <w:rFonts w:eastAsia="Calibri"/>
        </w:rPr>
        <w:t xml:space="preserve">ing </w:t>
      </w:r>
      <w:r>
        <w:rPr>
          <w:rFonts w:eastAsia="Calibri"/>
        </w:rPr>
        <w:t xml:space="preserve">individuals about citizenship status varied by neighborhood.  </w:t>
      </w:r>
      <w:r w:rsidR="008D652D">
        <w:rPr>
          <w:rFonts w:eastAsia="Calibri"/>
        </w:rPr>
        <w:t xml:space="preserve">A population-average model with robust standard errors (model 3) examines the relations between neighborhood-level factors and the likelihood of being asked about citizenship status accounting for individual-level factors.  The population-average model allows for random variation of the neighborhood-level error term and thus estimates the expected change in the mean outcome across the population, not just for neighborhoods that share error variance.  </w:t>
      </w:r>
      <w:r w:rsidR="004A504A">
        <w:rPr>
          <w:rFonts w:eastAsia="Calibri"/>
        </w:rPr>
        <w:t xml:space="preserve">This feature is contingent on the nonlinear logit function.  </w:t>
      </w:r>
      <w:r w:rsidR="00650ADD">
        <w:rPr>
          <w:rFonts w:eastAsia="Calibri"/>
        </w:rPr>
        <w:t xml:space="preserve">Model 3 constitutes a full multilevel model </w:t>
      </w:r>
      <w:r w:rsidR="0010652C">
        <w:rPr>
          <w:rFonts w:eastAsia="Calibri"/>
        </w:rPr>
        <w:t xml:space="preserve">examining the probability of being asked about citizenship status by law enforcement: </w:t>
      </w:r>
    </w:p>
    <w:p w14:paraId="111F0883" w14:textId="77777777" w:rsidR="00B103CA" w:rsidRPr="00B103CA" w:rsidRDefault="00B103CA" w:rsidP="00B103CA">
      <w:pPr>
        <w:spacing w:line="480" w:lineRule="auto"/>
        <w:rPr>
          <w:rFonts w:eastAsia="Calibri"/>
          <w:lang w:val="es-MX"/>
        </w:rPr>
      </w:pPr>
      <w:r w:rsidRPr="00B103CA">
        <w:rPr>
          <w:rFonts w:eastAsia="Calibri"/>
          <w:lang w:val="es-MX"/>
        </w:rPr>
        <w:t>Level-1 Model</w:t>
      </w:r>
    </w:p>
    <w:p w14:paraId="1615F6D0" w14:textId="77777777" w:rsidR="00B103CA" w:rsidRPr="00B103CA" w:rsidRDefault="00B103CA" w:rsidP="00B103CA">
      <w:pPr>
        <w:spacing w:line="480" w:lineRule="auto"/>
        <w:rPr>
          <w:rFonts w:eastAsia="Calibri"/>
          <w:lang w:val="es-MX"/>
        </w:rPr>
      </w:pPr>
      <w:r w:rsidRPr="00B103CA">
        <w:rPr>
          <w:rFonts w:eastAsia="Calibri"/>
          <w:lang w:val="es-MX"/>
        </w:rPr>
        <w:tab/>
        <w:t>Prob(Y=1|B) = P</w:t>
      </w:r>
    </w:p>
    <w:p w14:paraId="18D14DD2" w14:textId="77777777" w:rsidR="00B103CA" w:rsidRPr="007705B1" w:rsidRDefault="00B103CA" w:rsidP="00B103CA">
      <w:pPr>
        <w:spacing w:line="480" w:lineRule="auto"/>
        <w:rPr>
          <w:rFonts w:eastAsia="Calibri"/>
        </w:rPr>
      </w:pPr>
      <w:r w:rsidRPr="00B103CA">
        <w:rPr>
          <w:rFonts w:eastAsia="Calibri"/>
          <w:lang w:val="es-MX"/>
        </w:rPr>
        <w:tab/>
      </w:r>
      <w:r w:rsidRPr="00866B7B">
        <w:rPr>
          <w:rFonts w:eastAsia="Calibri"/>
        </w:rPr>
        <w:t>log[P/(1-P)] = B0 + B1*(AGEQ235) + B2*(SEXQ236) + B3*(HISPANIC) + B4*(FIR</w:t>
      </w:r>
      <w:r w:rsidRPr="007705B1">
        <w:rPr>
          <w:rFonts w:eastAsia="Calibri"/>
        </w:rPr>
        <w:t xml:space="preserve">STGEN) + B5*(SECGENB) </w:t>
      </w:r>
    </w:p>
    <w:p w14:paraId="7DFA028B" w14:textId="77777777" w:rsidR="00B103CA" w:rsidRPr="00B103CA" w:rsidRDefault="00B103CA" w:rsidP="00B103CA">
      <w:pPr>
        <w:spacing w:line="480" w:lineRule="auto"/>
        <w:rPr>
          <w:rFonts w:eastAsia="Calibri"/>
          <w:lang w:val="es-MX"/>
        </w:rPr>
      </w:pPr>
      <w:r w:rsidRPr="00B103CA">
        <w:rPr>
          <w:rFonts w:eastAsia="Calibri"/>
          <w:lang w:val="es-MX"/>
        </w:rPr>
        <w:t>Level-2 Model</w:t>
      </w:r>
    </w:p>
    <w:p w14:paraId="7B4090CB" w14:textId="77777777" w:rsidR="00B103CA" w:rsidRPr="00B103CA" w:rsidRDefault="00B103CA" w:rsidP="00B103CA">
      <w:pPr>
        <w:spacing w:line="480" w:lineRule="auto"/>
        <w:rPr>
          <w:rFonts w:eastAsia="Calibri"/>
          <w:lang w:val="es-MX"/>
        </w:rPr>
      </w:pPr>
      <w:r w:rsidRPr="00B103CA">
        <w:rPr>
          <w:rFonts w:eastAsia="Calibri"/>
          <w:lang w:val="es-MX"/>
        </w:rPr>
        <w:tab/>
        <w:t>B0 = G00 + G01*(LESSTHAN) + G02*(ENCLARLO) + G03*(ENCLARME) + u0</w:t>
      </w:r>
    </w:p>
    <w:p w14:paraId="1865EB92" w14:textId="77777777" w:rsidR="00B103CA" w:rsidRPr="00B103CA" w:rsidRDefault="00B103CA" w:rsidP="0010652C">
      <w:pPr>
        <w:rPr>
          <w:rFonts w:eastAsia="Calibri"/>
        </w:rPr>
      </w:pPr>
      <w:r w:rsidRPr="00B103CA">
        <w:rPr>
          <w:rFonts w:eastAsia="Calibri"/>
        </w:rPr>
        <w:t>.</w:t>
      </w:r>
    </w:p>
    <w:p w14:paraId="30715F42" w14:textId="77777777" w:rsidR="00B103CA" w:rsidRPr="00B103CA" w:rsidRDefault="00B103CA" w:rsidP="0010652C">
      <w:pPr>
        <w:rPr>
          <w:rFonts w:eastAsia="Calibri"/>
        </w:rPr>
      </w:pPr>
      <w:r w:rsidRPr="00B103CA">
        <w:rPr>
          <w:rFonts w:eastAsia="Calibri"/>
        </w:rPr>
        <w:t>.</w:t>
      </w:r>
    </w:p>
    <w:p w14:paraId="6657A7BF" w14:textId="77777777" w:rsidR="00B103CA" w:rsidRPr="00B103CA" w:rsidRDefault="00B103CA" w:rsidP="0010652C">
      <w:pPr>
        <w:rPr>
          <w:rFonts w:eastAsia="Calibri"/>
        </w:rPr>
      </w:pPr>
      <w:r w:rsidRPr="00B103CA">
        <w:rPr>
          <w:rFonts w:eastAsia="Calibri"/>
        </w:rPr>
        <w:t>.</w:t>
      </w:r>
    </w:p>
    <w:p w14:paraId="4324B726" w14:textId="77777777" w:rsidR="00B103CA" w:rsidRPr="00B103CA" w:rsidRDefault="00B103CA" w:rsidP="00B103CA">
      <w:pPr>
        <w:spacing w:line="480" w:lineRule="auto"/>
        <w:rPr>
          <w:rFonts w:eastAsia="Calibri"/>
        </w:rPr>
      </w:pPr>
      <w:r w:rsidRPr="00B103CA">
        <w:rPr>
          <w:rFonts w:eastAsia="Calibri"/>
        </w:rPr>
        <w:t>AGEQ235 has been centered around the grand mean.</w:t>
      </w:r>
    </w:p>
    <w:p w14:paraId="0C1CA902" w14:textId="77777777" w:rsidR="00B103CA" w:rsidRPr="00B103CA" w:rsidRDefault="00B103CA" w:rsidP="00B103CA">
      <w:pPr>
        <w:spacing w:line="480" w:lineRule="auto"/>
        <w:rPr>
          <w:rFonts w:eastAsia="Calibri"/>
        </w:rPr>
      </w:pPr>
      <w:r w:rsidRPr="00B103CA">
        <w:rPr>
          <w:rFonts w:eastAsia="Calibri"/>
        </w:rPr>
        <w:t>LESSTHAN has been centered around the grand mean.</w:t>
      </w:r>
    </w:p>
    <w:p w14:paraId="1DC5DC91" w14:textId="77777777" w:rsidR="00B103CA" w:rsidRPr="00B103CA" w:rsidRDefault="00B103CA" w:rsidP="00B103CA">
      <w:pPr>
        <w:spacing w:line="480" w:lineRule="auto"/>
        <w:rPr>
          <w:rFonts w:eastAsia="Calibri"/>
        </w:rPr>
      </w:pPr>
      <w:r w:rsidRPr="00B103CA">
        <w:rPr>
          <w:rFonts w:eastAsia="Calibri"/>
        </w:rPr>
        <w:t>Level-1 variance = 1/[P(1-P)]</w:t>
      </w:r>
    </w:p>
    <w:p w14:paraId="1149435A" w14:textId="77777777" w:rsidR="00B103CA" w:rsidRPr="00B103CA" w:rsidRDefault="00B103CA" w:rsidP="00B103CA">
      <w:pPr>
        <w:spacing w:line="480" w:lineRule="auto"/>
        <w:rPr>
          <w:rFonts w:eastAsia="Calibri"/>
        </w:rPr>
      </w:pPr>
      <w:r w:rsidRPr="00B103CA">
        <w:rPr>
          <w:rFonts w:eastAsia="Calibri"/>
        </w:rPr>
        <w:t>Mixed Model</w:t>
      </w:r>
    </w:p>
    <w:p w14:paraId="42A98500" w14:textId="77777777" w:rsidR="00B103CA" w:rsidRPr="007705B1" w:rsidRDefault="00B103CA" w:rsidP="00B103CA">
      <w:pPr>
        <w:spacing w:line="480" w:lineRule="auto"/>
        <w:rPr>
          <w:rFonts w:eastAsia="Calibri"/>
          <w:lang w:val="es-MX"/>
        </w:rPr>
      </w:pPr>
      <w:r w:rsidRPr="00B103CA">
        <w:rPr>
          <w:rFonts w:eastAsia="Calibri"/>
        </w:rPr>
        <w:t xml:space="preserve">    </w:t>
      </w:r>
      <w:r w:rsidRPr="00866B7B">
        <w:rPr>
          <w:rFonts w:eastAsia="Calibri"/>
          <w:lang w:val="es-MX"/>
        </w:rPr>
        <w:t xml:space="preserve">eta = G00 + G01*LESSTHAN + G02*ENCLARLO + G03*ENCLARME </w:t>
      </w:r>
    </w:p>
    <w:p w14:paraId="7C601867" w14:textId="77777777" w:rsidR="00B103CA" w:rsidRPr="00B103CA" w:rsidRDefault="00B103CA" w:rsidP="00B103CA">
      <w:pPr>
        <w:spacing w:line="480" w:lineRule="auto"/>
        <w:rPr>
          <w:rFonts w:eastAsia="Calibri"/>
        </w:rPr>
      </w:pPr>
      <w:r w:rsidRPr="007705B1">
        <w:rPr>
          <w:rFonts w:eastAsia="Calibri"/>
          <w:lang w:val="es-MX"/>
        </w:rPr>
        <w:lastRenderedPageBreak/>
        <w:t xml:space="preserve">    </w:t>
      </w:r>
      <w:r w:rsidRPr="00B103CA">
        <w:rPr>
          <w:rFonts w:eastAsia="Calibri"/>
        </w:rPr>
        <w:t xml:space="preserve">+ G10*AGEQ235 </w:t>
      </w:r>
    </w:p>
    <w:p w14:paraId="0D952B98" w14:textId="77777777" w:rsidR="00B103CA" w:rsidRPr="00B103CA" w:rsidRDefault="00B103CA" w:rsidP="00B103CA">
      <w:pPr>
        <w:spacing w:line="480" w:lineRule="auto"/>
        <w:rPr>
          <w:rFonts w:eastAsia="Calibri"/>
        </w:rPr>
      </w:pPr>
      <w:r w:rsidRPr="00B103CA">
        <w:rPr>
          <w:rFonts w:eastAsia="Calibri"/>
        </w:rPr>
        <w:t xml:space="preserve">    + G20*SEXQ236 </w:t>
      </w:r>
    </w:p>
    <w:p w14:paraId="2EB62995" w14:textId="77777777" w:rsidR="00B103CA" w:rsidRPr="00B103CA" w:rsidRDefault="00B103CA" w:rsidP="00B103CA">
      <w:pPr>
        <w:spacing w:line="480" w:lineRule="auto"/>
        <w:rPr>
          <w:rFonts w:eastAsia="Calibri"/>
        </w:rPr>
      </w:pPr>
      <w:r w:rsidRPr="00B103CA">
        <w:rPr>
          <w:rFonts w:eastAsia="Calibri"/>
        </w:rPr>
        <w:t xml:space="preserve">    + G30*HISPANIC </w:t>
      </w:r>
    </w:p>
    <w:p w14:paraId="1D65F7EC" w14:textId="77777777" w:rsidR="00B103CA" w:rsidRPr="00B103CA" w:rsidRDefault="00B103CA" w:rsidP="00B103CA">
      <w:pPr>
        <w:spacing w:line="480" w:lineRule="auto"/>
        <w:rPr>
          <w:rFonts w:eastAsia="Calibri"/>
        </w:rPr>
      </w:pPr>
      <w:r w:rsidRPr="00B103CA">
        <w:rPr>
          <w:rFonts w:eastAsia="Calibri"/>
        </w:rPr>
        <w:t xml:space="preserve">    + G40*FIRSTGEN </w:t>
      </w:r>
    </w:p>
    <w:p w14:paraId="6BE4D473" w14:textId="77777777" w:rsidR="00B103CA" w:rsidRPr="00B103CA" w:rsidRDefault="00B103CA" w:rsidP="00B103CA">
      <w:pPr>
        <w:spacing w:line="480" w:lineRule="auto"/>
        <w:rPr>
          <w:rFonts w:eastAsia="Calibri"/>
        </w:rPr>
      </w:pPr>
      <w:r w:rsidRPr="00B103CA">
        <w:rPr>
          <w:rFonts w:eastAsia="Calibri"/>
        </w:rPr>
        <w:t xml:space="preserve">    + G50*SECGENB </w:t>
      </w:r>
    </w:p>
    <w:p w14:paraId="38C04555" w14:textId="44B73710" w:rsidR="00650ADD" w:rsidRDefault="00B103CA" w:rsidP="00B103CA">
      <w:pPr>
        <w:spacing w:line="480" w:lineRule="auto"/>
        <w:rPr>
          <w:rFonts w:eastAsia="Calibri"/>
        </w:rPr>
      </w:pPr>
      <w:r w:rsidRPr="00B103CA">
        <w:rPr>
          <w:rFonts w:eastAsia="Calibri"/>
        </w:rPr>
        <w:t xml:space="preserve">     + u0</w:t>
      </w:r>
    </w:p>
    <w:p w14:paraId="5785A101" w14:textId="77777777" w:rsidR="00B103CA" w:rsidRDefault="00B103CA" w:rsidP="006D278C">
      <w:pPr>
        <w:spacing w:line="480" w:lineRule="auto"/>
        <w:rPr>
          <w:rFonts w:eastAsia="Calibri"/>
        </w:rPr>
      </w:pPr>
    </w:p>
    <w:p w14:paraId="6FEA893C" w14:textId="2F743864" w:rsidR="00B51638" w:rsidRDefault="00B51638" w:rsidP="00B51638">
      <w:pPr>
        <w:spacing w:line="480" w:lineRule="auto"/>
        <w:rPr>
          <w:rFonts w:eastAsia="Calibri"/>
        </w:rPr>
      </w:pPr>
      <w:r>
        <w:rPr>
          <w:rFonts w:eastAsia="Calibri"/>
        </w:rPr>
        <w:t xml:space="preserve">RESULTS </w:t>
      </w:r>
    </w:p>
    <w:p w14:paraId="2096497E" w14:textId="221AE653" w:rsidR="008C3488" w:rsidRPr="008C3488" w:rsidRDefault="008C3488" w:rsidP="008C3488">
      <w:pPr>
        <w:spacing w:line="480" w:lineRule="auto"/>
        <w:ind w:firstLine="720"/>
      </w:pPr>
      <w:r w:rsidRPr="008C3488">
        <w:rPr>
          <w:rFonts w:ascii="Times-Roman" w:eastAsiaTheme="minorHAnsi" w:hAnsi="Times-Roman" w:cs="Times-Roman"/>
        </w:rPr>
        <w:t xml:space="preserve">Background analysis showed an association between generational status and being asked about citizenship status by law enforcement.  Specifically, </w:t>
      </w:r>
      <w:r>
        <w:rPr>
          <w:rFonts w:ascii="Times-Roman" w:eastAsiaTheme="minorHAnsi" w:hAnsi="Times-Roman" w:cs="Times-Roman"/>
        </w:rPr>
        <w:t>23.5 percent of second-generation individuals have been questioned about their citizenship status at least once, followed by 20 percent of first-generation individuals and 13.3 percent of those who are third-generation or later (</w:t>
      </w:r>
      <w:r w:rsidRPr="008C3488">
        <w:rPr>
          <w:rFonts w:ascii="Times-Roman" w:eastAsiaTheme="minorHAnsi" w:hAnsi="Times-Roman" w:cs="Times-Roman"/>
          <w:i/>
        </w:rPr>
        <w:t>χ</w:t>
      </w:r>
      <w:r w:rsidRPr="008C3488">
        <w:rPr>
          <w:rFonts w:ascii="Times-Roman" w:eastAsiaTheme="minorHAnsi" w:hAnsi="Times-Roman" w:cs="Times-Roman"/>
          <w:i/>
          <w:vertAlign w:val="superscript"/>
        </w:rPr>
        <w:t>2</w:t>
      </w:r>
      <w:r w:rsidRPr="008C3488">
        <w:rPr>
          <w:rFonts w:ascii="Times-Roman" w:eastAsiaTheme="minorHAnsi" w:hAnsi="Times-Roman" w:cs="Times-Roman"/>
          <w:i/>
        </w:rPr>
        <w:t>= 9.120, p.&lt;.01</w:t>
      </w:r>
      <w:r>
        <w:rPr>
          <w:rFonts w:ascii="Times-Roman" w:eastAsiaTheme="minorHAnsi" w:hAnsi="Times-Roman" w:cs="Times-Roman"/>
        </w:rPr>
        <w:t xml:space="preserve">).  </w:t>
      </w:r>
      <w:r w:rsidR="009735A9">
        <w:rPr>
          <w:rFonts w:ascii="Times-Roman" w:eastAsiaTheme="minorHAnsi" w:hAnsi="Times-Roman" w:cs="Times-Roman"/>
        </w:rPr>
        <w:t xml:space="preserve">In regards to ethnicity, 87.2 percent of those questioned about their citizenship status were Latina/o but results are not statistically significant.  </w:t>
      </w:r>
      <w:r w:rsidR="00D17D80">
        <w:rPr>
          <w:rFonts w:ascii="Times-Roman" w:eastAsiaTheme="minorHAnsi" w:hAnsi="Times-Roman" w:cs="Times-Roman"/>
        </w:rPr>
        <w:t xml:space="preserve">This is not surprising, given that El Paso is 86 percent Latina/o and thus citizenship, rather than ethnic profiling, is more salient.  </w:t>
      </w:r>
      <w:r>
        <w:rPr>
          <w:rFonts w:ascii="Times-Roman" w:eastAsiaTheme="minorHAnsi" w:hAnsi="Times-Roman" w:cs="Times-Roman"/>
        </w:rPr>
        <w:t xml:space="preserve">Thus, bivariate analysis provides some preliminary picture of who is profiled as a non-citizen by police.  </w:t>
      </w:r>
    </w:p>
    <w:p w14:paraId="18A41C7D" w14:textId="143555D4" w:rsidR="00B51638" w:rsidRDefault="0010652C" w:rsidP="00B51638">
      <w:pPr>
        <w:spacing w:line="480" w:lineRule="auto"/>
        <w:ind w:firstLine="720"/>
      </w:pPr>
      <w:r>
        <w:t xml:space="preserve">Table </w:t>
      </w:r>
      <w:r w:rsidR="001F7AB1">
        <w:t>2</w:t>
      </w:r>
      <w:r>
        <w:t xml:space="preserve"> presents the HGLM multilevel models predicting being asked about citizenship status by law enforcement.  </w:t>
      </w:r>
      <w:r w:rsidR="00F50C91">
        <w:t>The null model (</w:t>
      </w:r>
      <w:r w:rsidR="00B51638">
        <w:t xml:space="preserve">Model </w:t>
      </w:r>
      <w:r w:rsidR="001E45E5">
        <w:t>1</w:t>
      </w:r>
      <w:r w:rsidR="00F50C91">
        <w:t xml:space="preserve">) is a preliminary model </w:t>
      </w:r>
      <w:r w:rsidR="001E45E5">
        <w:t xml:space="preserve">that </w:t>
      </w:r>
      <w:r w:rsidR="00042B89">
        <w:t xml:space="preserve">determines </w:t>
      </w:r>
      <w:r w:rsidR="00B51638">
        <w:t xml:space="preserve">the </w:t>
      </w:r>
      <w:r w:rsidR="00042B89">
        <w:t xml:space="preserve">expected log-odds of </w:t>
      </w:r>
      <w:r w:rsidR="00B51638">
        <w:t>being asked about citizenship status by law enforcement</w:t>
      </w:r>
      <w:r w:rsidR="00042B89">
        <w:t xml:space="preserve">.  </w:t>
      </w:r>
      <w:r w:rsidR="00F50C91">
        <w:t xml:space="preserve">Model 1 excludes individual-level and neighborhood-level predictors.  </w:t>
      </w:r>
      <w:r w:rsidR="00042B89">
        <w:t>In this case, the expected log-odds corresponds to a probability of 1/(1 + exp{1.542819}) = .18</w:t>
      </w:r>
      <w:r w:rsidR="001E45E5">
        <w:t xml:space="preserve"> of individuals being asked about their citizenship status by law enforcement</w:t>
      </w:r>
      <w:r w:rsidR="00042B89">
        <w:t xml:space="preserve">. </w:t>
      </w:r>
      <w:r w:rsidR="00B51638">
        <w:t xml:space="preserve">The intercept was significantly different from zero </w:t>
      </w:r>
      <w:r w:rsidR="00B51638">
        <w:lastRenderedPageBreak/>
        <w:t>(</w:t>
      </w:r>
      <w:r w:rsidR="00B51638" w:rsidRPr="00493A1D">
        <w:rPr>
          <w:i/>
        </w:rPr>
        <w:t>p-</w:t>
      </w:r>
      <w:r w:rsidR="00B51638">
        <w:t xml:space="preserve">value &lt;0.001), meaning the rate of individuals who get asked about their citizenship status by law enforcement </w:t>
      </w:r>
      <w:r w:rsidR="00042B89">
        <w:t xml:space="preserve">are </w:t>
      </w:r>
      <w:r w:rsidR="00B51638">
        <w:t xml:space="preserve">significantly different from </w:t>
      </w:r>
      <w:r w:rsidR="00042B89">
        <w:t>the those who did not get asked</w:t>
      </w:r>
      <w:r w:rsidR="00B51638">
        <w:t xml:space="preserve"> and </w:t>
      </w:r>
      <w:r w:rsidR="00042B89">
        <w:t xml:space="preserve">that being asked </w:t>
      </w:r>
      <w:r w:rsidR="00B51638">
        <w:t xml:space="preserve">varies across neighborhoods.  </w:t>
      </w:r>
    </w:p>
    <w:tbl>
      <w:tblPr>
        <w:tblStyle w:val="TableGrid"/>
        <w:tblW w:w="0" w:type="auto"/>
        <w:tblLook w:val="04A0" w:firstRow="1" w:lastRow="0" w:firstColumn="1" w:lastColumn="0" w:noHBand="0" w:noVBand="1"/>
      </w:tblPr>
      <w:tblGrid>
        <w:gridCol w:w="2337"/>
        <w:gridCol w:w="2337"/>
        <w:gridCol w:w="2338"/>
        <w:gridCol w:w="2338"/>
      </w:tblGrid>
      <w:tr w:rsidR="009F6351" w:rsidRPr="00363550" w14:paraId="22D86548" w14:textId="77777777" w:rsidTr="00874E20">
        <w:tc>
          <w:tcPr>
            <w:tcW w:w="9350" w:type="dxa"/>
            <w:gridSpan w:val="4"/>
          </w:tcPr>
          <w:p w14:paraId="69CAC444" w14:textId="77777777" w:rsidR="009F6351" w:rsidRPr="00363550" w:rsidRDefault="009F6351" w:rsidP="00874E20">
            <w:pPr>
              <w:spacing w:line="480" w:lineRule="auto"/>
            </w:pPr>
            <w:r>
              <w:t xml:space="preserve">Table 2. HGLM Analysis for Odds of Being Questioned about Citizenship </w:t>
            </w:r>
          </w:p>
        </w:tc>
      </w:tr>
      <w:tr w:rsidR="009F6351" w:rsidRPr="00363550" w14:paraId="717DEE30" w14:textId="77777777" w:rsidTr="00874E20">
        <w:tc>
          <w:tcPr>
            <w:tcW w:w="2337" w:type="dxa"/>
          </w:tcPr>
          <w:p w14:paraId="62B2494E" w14:textId="77777777" w:rsidR="009F6351" w:rsidRPr="00363550" w:rsidRDefault="009F6351" w:rsidP="00874E20">
            <w:pPr>
              <w:spacing w:line="480" w:lineRule="auto"/>
            </w:pPr>
          </w:p>
        </w:tc>
        <w:tc>
          <w:tcPr>
            <w:tcW w:w="2337" w:type="dxa"/>
          </w:tcPr>
          <w:p w14:paraId="6CB3207B" w14:textId="77777777" w:rsidR="009F6351" w:rsidRPr="00363550" w:rsidRDefault="009F6351" w:rsidP="00874E20">
            <w:pPr>
              <w:spacing w:line="480" w:lineRule="auto"/>
            </w:pPr>
            <w:r w:rsidRPr="00363550">
              <w:t>Model 1</w:t>
            </w:r>
          </w:p>
        </w:tc>
        <w:tc>
          <w:tcPr>
            <w:tcW w:w="2338" w:type="dxa"/>
          </w:tcPr>
          <w:p w14:paraId="2EF20526" w14:textId="77777777" w:rsidR="009F6351" w:rsidRPr="00363550" w:rsidRDefault="009F6351" w:rsidP="00874E20">
            <w:pPr>
              <w:spacing w:line="480" w:lineRule="auto"/>
            </w:pPr>
            <w:r w:rsidRPr="00363550">
              <w:t>Model 2</w:t>
            </w:r>
          </w:p>
        </w:tc>
        <w:tc>
          <w:tcPr>
            <w:tcW w:w="2338" w:type="dxa"/>
          </w:tcPr>
          <w:p w14:paraId="15BC3D07" w14:textId="77777777" w:rsidR="009F6351" w:rsidRPr="00363550" w:rsidRDefault="009F6351" w:rsidP="00874E20">
            <w:pPr>
              <w:spacing w:line="480" w:lineRule="auto"/>
            </w:pPr>
            <w:r w:rsidRPr="00363550">
              <w:t>Model 3</w:t>
            </w:r>
          </w:p>
        </w:tc>
      </w:tr>
      <w:tr w:rsidR="009F6351" w:rsidRPr="00363550" w14:paraId="134EB362" w14:textId="77777777" w:rsidTr="00874E20">
        <w:tc>
          <w:tcPr>
            <w:tcW w:w="2337" w:type="dxa"/>
          </w:tcPr>
          <w:p w14:paraId="07278D92" w14:textId="77777777" w:rsidR="009F6351" w:rsidRPr="00363550" w:rsidRDefault="009F6351" w:rsidP="00874E20">
            <w:pPr>
              <w:spacing w:line="480" w:lineRule="auto"/>
              <w:rPr>
                <w:b/>
              </w:rPr>
            </w:pPr>
            <w:r w:rsidRPr="00363550">
              <w:rPr>
                <w:b/>
              </w:rPr>
              <w:t>Level-1</w:t>
            </w:r>
          </w:p>
        </w:tc>
        <w:tc>
          <w:tcPr>
            <w:tcW w:w="2337" w:type="dxa"/>
          </w:tcPr>
          <w:p w14:paraId="136EBD55" w14:textId="77777777" w:rsidR="009F6351" w:rsidRPr="00363550" w:rsidRDefault="009F6351" w:rsidP="00874E20">
            <w:pPr>
              <w:spacing w:line="480" w:lineRule="auto"/>
            </w:pPr>
          </w:p>
        </w:tc>
        <w:tc>
          <w:tcPr>
            <w:tcW w:w="2338" w:type="dxa"/>
          </w:tcPr>
          <w:p w14:paraId="1A622E90" w14:textId="77777777" w:rsidR="009F6351" w:rsidRPr="00363550" w:rsidRDefault="009F6351" w:rsidP="00874E20">
            <w:pPr>
              <w:spacing w:line="480" w:lineRule="auto"/>
            </w:pPr>
          </w:p>
        </w:tc>
        <w:tc>
          <w:tcPr>
            <w:tcW w:w="2338" w:type="dxa"/>
          </w:tcPr>
          <w:p w14:paraId="43A10522" w14:textId="77777777" w:rsidR="009F6351" w:rsidRPr="00363550" w:rsidRDefault="009F6351" w:rsidP="00874E20">
            <w:pPr>
              <w:spacing w:line="480" w:lineRule="auto"/>
            </w:pPr>
          </w:p>
        </w:tc>
      </w:tr>
      <w:tr w:rsidR="009F6351" w:rsidRPr="00363550" w14:paraId="04A3801D" w14:textId="77777777" w:rsidTr="00874E20">
        <w:tc>
          <w:tcPr>
            <w:tcW w:w="2337" w:type="dxa"/>
          </w:tcPr>
          <w:p w14:paraId="4D447BC3" w14:textId="77777777" w:rsidR="009F6351" w:rsidRPr="00363550" w:rsidRDefault="009F6351" w:rsidP="00874E20">
            <w:pPr>
              <w:spacing w:line="480" w:lineRule="auto"/>
            </w:pPr>
            <w:r>
              <w:t xml:space="preserve">Intercept </w:t>
            </w:r>
          </w:p>
        </w:tc>
        <w:tc>
          <w:tcPr>
            <w:tcW w:w="2337" w:type="dxa"/>
          </w:tcPr>
          <w:p w14:paraId="574CB46A" w14:textId="77777777" w:rsidR="009F6351" w:rsidRPr="00363550" w:rsidRDefault="009F6351" w:rsidP="00874E20">
            <w:pPr>
              <w:spacing w:line="480" w:lineRule="auto"/>
            </w:pPr>
            <w:r>
              <w:t>0.213***</w:t>
            </w:r>
          </w:p>
        </w:tc>
        <w:tc>
          <w:tcPr>
            <w:tcW w:w="2338" w:type="dxa"/>
          </w:tcPr>
          <w:p w14:paraId="34B238C6" w14:textId="77777777" w:rsidR="009F6351" w:rsidRPr="00363550" w:rsidRDefault="009F6351" w:rsidP="00874E20">
            <w:pPr>
              <w:spacing w:line="480" w:lineRule="auto"/>
            </w:pPr>
            <w:r>
              <w:t>0.098***</w:t>
            </w:r>
          </w:p>
        </w:tc>
        <w:tc>
          <w:tcPr>
            <w:tcW w:w="2338" w:type="dxa"/>
          </w:tcPr>
          <w:p w14:paraId="3438DDD8" w14:textId="77777777" w:rsidR="009F6351" w:rsidRPr="00363550" w:rsidRDefault="009F6351" w:rsidP="00874E20">
            <w:pPr>
              <w:spacing w:line="480" w:lineRule="auto"/>
            </w:pPr>
            <w:r>
              <w:t>0.073***</w:t>
            </w:r>
          </w:p>
        </w:tc>
      </w:tr>
      <w:tr w:rsidR="009F6351" w:rsidRPr="00363550" w14:paraId="27FE80A4" w14:textId="77777777" w:rsidTr="00874E20">
        <w:tc>
          <w:tcPr>
            <w:tcW w:w="2337" w:type="dxa"/>
          </w:tcPr>
          <w:p w14:paraId="0F768772" w14:textId="77777777" w:rsidR="009F6351" w:rsidRPr="00363550" w:rsidRDefault="009F6351" w:rsidP="00874E20">
            <w:pPr>
              <w:spacing w:line="480" w:lineRule="auto"/>
            </w:pPr>
            <w:r>
              <w:t xml:space="preserve">First-generation </w:t>
            </w:r>
          </w:p>
        </w:tc>
        <w:tc>
          <w:tcPr>
            <w:tcW w:w="2337" w:type="dxa"/>
          </w:tcPr>
          <w:p w14:paraId="5136C8A6" w14:textId="77777777" w:rsidR="009F6351" w:rsidRPr="00363550" w:rsidRDefault="009F6351" w:rsidP="00874E20">
            <w:pPr>
              <w:spacing w:line="480" w:lineRule="auto"/>
            </w:pPr>
          </w:p>
        </w:tc>
        <w:tc>
          <w:tcPr>
            <w:tcW w:w="2338" w:type="dxa"/>
          </w:tcPr>
          <w:p w14:paraId="3DBC76E6" w14:textId="77777777" w:rsidR="009F6351" w:rsidRPr="00363550" w:rsidRDefault="009F6351" w:rsidP="00874E20">
            <w:pPr>
              <w:spacing w:line="480" w:lineRule="auto"/>
            </w:pPr>
            <w:r>
              <w:t>1.830*</w:t>
            </w:r>
          </w:p>
        </w:tc>
        <w:tc>
          <w:tcPr>
            <w:tcW w:w="2338" w:type="dxa"/>
          </w:tcPr>
          <w:p w14:paraId="022A334B" w14:textId="77777777" w:rsidR="009F6351" w:rsidRPr="00363550" w:rsidRDefault="009F6351" w:rsidP="00874E20">
            <w:pPr>
              <w:spacing w:line="480" w:lineRule="auto"/>
            </w:pPr>
            <w:r>
              <w:t>1.937*</w:t>
            </w:r>
          </w:p>
        </w:tc>
      </w:tr>
      <w:tr w:rsidR="009F6351" w:rsidRPr="00363550" w14:paraId="38A7EF64" w14:textId="77777777" w:rsidTr="00874E20">
        <w:tc>
          <w:tcPr>
            <w:tcW w:w="2337" w:type="dxa"/>
          </w:tcPr>
          <w:p w14:paraId="6999D67D" w14:textId="77777777" w:rsidR="009F6351" w:rsidRPr="00363550" w:rsidRDefault="009F6351" w:rsidP="00874E20">
            <w:pPr>
              <w:spacing w:line="480" w:lineRule="auto"/>
            </w:pPr>
            <w:r>
              <w:t xml:space="preserve">Second-generation </w:t>
            </w:r>
          </w:p>
        </w:tc>
        <w:tc>
          <w:tcPr>
            <w:tcW w:w="2337" w:type="dxa"/>
          </w:tcPr>
          <w:p w14:paraId="4DC6721E" w14:textId="77777777" w:rsidR="009F6351" w:rsidRPr="00363550" w:rsidRDefault="009F6351" w:rsidP="00874E20">
            <w:pPr>
              <w:spacing w:line="480" w:lineRule="auto"/>
            </w:pPr>
          </w:p>
        </w:tc>
        <w:tc>
          <w:tcPr>
            <w:tcW w:w="2338" w:type="dxa"/>
          </w:tcPr>
          <w:p w14:paraId="5114DAA4" w14:textId="77777777" w:rsidR="009F6351" w:rsidRPr="00363550" w:rsidRDefault="009F6351" w:rsidP="00874E20">
            <w:pPr>
              <w:spacing w:line="480" w:lineRule="auto"/>
            </w:pPr>
            <w:r>
              <w:t>1.860*</w:t>
            </w:r>
          </w:p>
        </w:tc>
        <w:tc>
          <w:tcPr>
            <w:tcW w:w="2338" w:type="dxa"/>
          </w:tcPr>
          <w:p w14:paraId="28149514" w14:textId="77777777" w:rsidR="009F6351" w:rsidRPr="00363550" w:rsidRDefault="009F6351" w:rsidP="00874E20">
            <w:pPr>
              <w:spacing w:line="480" w:lineRule="auto"/>
            </w:pPr>
            <w:r>
              <w:t>1.890*</w:t>
            </w:r>
          </w:p>
        </w:tc>
      </w:tr>
      <w:tr w:rsidR="009F6351" w:rsidRPr="00363550" w14:paraId="14C4F462" w14:textId="77777777" w:rsidTr="00874E20">
        <w:tc>
          <w:tcPr>
            <w:tcW w:w="2337" w:type="dxa"/>
          </w:tcPr>
          <w:p w14:paraId="1D97A1FA" w14:textId="77777777" w:rsidR="009F6351" w:rsidRPr="00363550" w:rsidRDefault="009F6351" w:rsidP="00874E20">
            <w:pPr>
              <w:spacing w:line="480" w:lineRule="auto"/>
            </w:pPr>
            <w:r>
              <w:t xml:space="preserve">Latina/o </w:t>
            </w:r>
          </w:p>
        </w:tc>
        <w:tc>
          <w:tcPr>
            <w:tcW w:w="2337" w:type="dxa"/>
          </w:tcPr>
          <w:p w14:paraId="5D2DB4B5" w14:textId="77777777" w:rsidR="009F6351" w:rsidRPr="00363550" w:rsidRDefault="009F6351" w:rsidP="00874E20">
            <w:pPr>
              <w:spacing w:line="480" w:lineRule="auto"/>
            </w:pPr>
          </w:p>
        </w:tc>
        <w:tc>
          <w:tcPr>
            <w:tcW w:w="2338" w:type="dxa"/>
          </w:tcPr>
          <w:p w14:paraId="3D7A6922" w14:textId="77777777" w:rsidR="009F6351" w:rsidRPr="00363550" w:rsidRDefault="009F6351" w:rsidP="00874E20">
            <w:pPr>
              <w:spacing w:line="480" w:lineRule="auto"/>
            </w:pPr>
            <w:r>
              <w:t>1.329</w:t>
            </w:r>
          </w:p>
        </w:tc>
        <w:tc>
          <w:tcPr>
            <w:tcW w:w="2338" w:type="dxa"/>
          </w:tcPr>
          <w:p w14:paraId="1C200DFA" w14:textId="77777777" w:rsidR="009F6351" w:rsidRPr="00363550" w:rsidRDefault="009F6351" w:rsidP="00874E20">
            <w:pPr>
              <w:spacing w:line="480" w:lineRule="auto"/>
            </w:pPr>
            <w:r>
              <w:t>1.346</w:t>
            </w:r>
          </w:p>
        </w:tc>
      </w:tr>
      <w:tr w:rsidR="009F6351" w:rsidRPr="00363550" w14:paraId="7349C908" w14:textId="77777777" w:rsidTr="00874E20">
        <w:tc>
          <w:tcPr>
            <w:tcW w:w="2337" w:type="dxa"/>
          </w:tcPr>
          <w:p w14:paraId="62E00ECB" w14:textId="77777777" w:rsidR="009F6351" w:rsidRPr="00363550" w:rsidRDefault="009F6351" w:rsidP="00874E20">
            <w:pPr>
              <w:spacing w:line="480" w:lineRule="auto"/>
            </w:pPr>
            <w:r>
              <w:t xml:space="preserve">Male </w:t>
            </w:r>
          </w:p>
        </w:tc>
        <w:tc>
          <w:tcPr>
            <w:tcW w:w="2337" w:type="dxa"/>
          </w:tcPr>
          <w:p w14:paraId="48A46E9E" w14:textId="77777777" w:rsidR="009F6351" w:rsidRPr="00363550" w:rsidRDefault="009F6351" w:rsidP="00874E20">
            <w:pPr>
              <w:spacing w:line="480" w:lineRule="auto"/>
            </w:pPr>
          </w:p>
        </w:tc>
        <w:tc>
          <w:tcPr>
            <w:tcW w:w="2338" w:type="dxa"/>
          </w:tcPr>
          <w:p w14:paraId="67347A50" w14:textId="77777777" w:rsidR="009F6351" w:rsidRPr="00363550" w:rsidRDefault="009F6351" w:rsidP="00874E20">
            <w:pPr>
              <w:spacing w:line="480" w:lineRule="auto"/>
            </w:pPr>
            <w:r>
              <w:t>1.311</w:t>
            </w:r>
          </w:p>
        </w:tc>
        <w:tc>
          <w:tcPr>
            <w:tcW w:w="2338" w:type="dxa"/>
          </w:tcPr>
          <w:p w14:paraId="634543E0" w14:textId="77777777" w:rsidR="009F6351" w:rsidRPr="00363550" w:rsidRDefault="009F6351" w:rsidP="00874E20">
            <w:pPr>
              <w:spacing w:line="480" w:lineRule="auto"/>
            </w:pPr>
            <w:r>
              <w:t>1.302</w:t>
            </w:r>
          </w:p>
        </w:tc>
      </w:tr>
      <w:tr w:rsidR="009F6351" w:rsidRPr="00363550" w14:paraId="6996885F" w14:textId="77777777" w:rsidTr="00874E20">
        <w:tc>
          <w:tcPr>
            <w:tcW w:w="2337" w:type="dxa"/>
          </w:tcPr>
          <w:p w14:paraId="70B21DE2" w14:textId="77777777" w:rsidR="009F6351" w:rsidRPr="00363550" w:rsidRDefault="009F6351" w:rsidP="00874E20">
            <w:pPr>
              <w:spacing w:line="480" w:lineRule="auto"/>
            </w:pPr>
            <w:r>
              <w:t>Age</w:t>
            </w:r>
          </w:p>
        </w:tc>
        <w:tc>
          <w:tcPr>
            <w:tcW w:w="2337" w:type="dxa"/>
          </w:tcPr>
          <w:p w14:paraId="7C31492E" w14:textId="77777777" w:rsidR="009F6351" w:rsidRPr="00363550" w:rsidRDefault="009F6351" w:rsidP="00874E20">
            <w:pPr>
              <w:spacing w:line="480" w:lineRule="auto"/>
            </w:pPr>
          </w:p>
        </w:tc>
        <w:tc>
          <w:tcPr>
            <w:tcW w:w="2338" w:type="dxa"/>
          </w:tcPr>
          <w:p w14:paraId="09D16113" w14:textId="77777777" w:rsidR="009F6351" w:rsidRPr="00363550" w:rsidRDefault="009F6351" w:rsidP="00874E20">
            <w:pPr>
              <w:spacing w:line="480" w:lineRule="auto"/>
            </w:pPr>
            <w:r>
              <w:t>0.975**</w:t>
            </w:r>
          </w:p>
        </w:tc>
        <w:tc>
          <w:tcPr>
            <w:tcW w:w="2338" w:type="dxa"/>
          </w:tcPr>
          <w:p w14:paraId="4085D704" w14:textId="77777777" w:rsidR="009F6351" w:rsidRPr="00363550" w:rsidRDefault="009F6351" w:rsidP="00874E20">
            <w:pPr>
              <w:spacing w:line="480" w:lineRule="auto"/>
            </w:pPr>
            <w:r>
              <w:t>0.974***</w:t>
            </w:r>
          </w:p>
        </w:tc>
      </w:tr>
      <w:tr w:rsidR="009F6351" w:rsidRPr="00363550" w14:paraId="18AAFEB4" w14:textId="77777777" w:rsidTr="00874E20">
        <w:tc>
          <w:tcPr>
            <w:tcW w:w="2337" w:type="dxa"/>
          </w:tcPr>
          <w:p w14:paraId="4EFA8F22" w14:textId="77777777" w:rsidR="009F6351" w:rsidRPr="00363550" w:rsidRDefault="009F6351" w:rsidP="00874E20">
            <w:pPr>
              <w:spacing w:line="480" w:lineRule="auto"/>
              <w:rPr>
                <w:b/>
              </w:rPr>
            </w:pPr>
            <w:r w:rsidRPr="00363550">
              <w:rPr>
                <w:b/>
              </w:rPr>
              <w:t>Level-2</w:t>
            </w:r>
          </w:p>
        </w:tc>
        <w:tc>
          <w:tcPr>
            <w:tcW w:w="2337" w:type="dxa"/>
          </w:tcPr>
          <w:p w14:paraId="7D51F765" w14:textId="77777777" w:rsidR="009F6351" w:rsidRPr="00363550" w:rsidRDefault="009F6351" w:rsidP="00874E20">
            <w:pPr>
              <w:spacing w:line="480" w:lineRule="auto"/>
            </w:pPr>
          </w:p>
        </w:tc>
        <w:tc>
          <w:tcPr>
            <w:tcW w:w="2338" w:type="dxa"/>
          </w:tcPr>
          <w:p w14:paraId="4C8CDB0C" w14:textId="77777777" w:rsidR="009F6351" w:rsidRPr="00363550" w:rsidRDefault="009F6351" w:rsidP="00874E20">
            <w:pPr>
              <w:spacing w:line="480" w:lineRule="auto"/>
            </w:pPr>
          </w:p>
        </w:tc>
        <w:tc>
          <w:tcPr>
            <w:tcW w:w="2338" w:type="dxa"/>
          </w:tcPr>
          <w:p w14:paraId="52BC30DA" w14:textId="77777777" w:rsidR="009F6351" w:rsidRPr="00363550" w:rsidRDefault="009F6351" w:rsidP="00874E20">
            <w:pPr>
              <w:spacing w:line="480" w:lineRule="auto"/>
            </w:pPr>
          </w:p>
        </w:tc>
      </w:tr>
      <w:tr w:rsidR="009F6351" w:rsidRPr="00363550" w14:paraId="6CC8D4FE" w14:textId="77777777" w:rsidTr="00874E20">
        <w:tc>
          <w:tcPr>
            <w:tcW w:w="2337" w:type="dxa"/>
          </w:tcPr>
          <w:p w14:paraId="72F9FB41" w14:textId="77777777" w:rsidR="009F6351" w:rsidRDefault="009F6351" w:rsidP="00874E20">
            <w:pPr>
              <w:spacing w:line="480" w:lineRule="auto"/>
            </w:pPr>
            <w:r>
              <w:t xml:space="preserve">% Poverty </w:t>
            </w:r>
          </w:p>
        </w:tc>
        <w:tc>
          <w:tcPr>
            <w:tcW w:w="2337" w:type="dxa"/>
          </w:tcPr>
          <w:p w14:paraId="7B28F1D5" w14:textId="77777777" w:rsidR="009F6351" w:rsidRPr="00363550" w:rsidRDefault="009F6351" w:rsidP="00874E20">
            <w:pPr>
              <w:spacing w:line="480" w:lineRule="auto"/>
            </w:pPr>
          </w:p>
        </w:tc>
        <w:tc>
          <w:tcPr>
            <w:tcW w:w="2338" w:type="dxa"/>
          </w:tcPr>
          <w:p w14:paraId="6CD27715" w14:textId="77777777" w:rsidR="009F6351" w:rsidRPr="00363550" w:rsidRDefault="009F6351" w:rsidP="00874E20">
            <w:pPr>
              <w:spacing w:line="480" w:lineRule="auto"/>
            </w:pPr>
          </w:p>
        </w:tc>
        <w:tc>
          <w:tcPr>
            <w:tcW w:w="2338" w:type="dxa"/>
          </w:tcPr>
          <w:p w14:paraId="612F4076" w14:textId="77777777" w:rsidR="009F6351" w:rsidRPr="00363550" w:rsidRDefault="009F6351" w:rsidP="00874E20">
            <w:pPr>
              <w:spacing w:line="480" w:lineRule="auto"/>
            </w:pPr>
            <w:r>
              <w:t>1.028*</w:t>
            </w:r>
          </w:p>
        </w:tc>
      </w:tr>
      <w:tr w:rsidR="009F6351" w:rsidRPr="00363550" w14:paraId="3D0A9786" w14:textId="77777777" w:rsidTr="00874E20">
        <w:tc>
          <w:tcPr>
            <w:tcW w:w="2337" w:type="dxa"/>
          </w:tcPr>
          <w:p w14:paraId="6FA00437" w14:textId="77777777" w:rsidR="009F6351" w:rsidRDefault="009F6351" w:rsidP="00874E20">
            <w:pPr>
              <w:spacing w:line="480" w:lineRule="auto"/>
            </w:pPr>
            <w:r>
              <w:t>Low-level enclave</w:t>
            </w:r>
          </w:p>
        </w:tc>
        <w:tc>
          <w:tcPr>
            <w:tcW w:w="2337" w:type="dxa"/>
          </w:tcPr>
          <w:p w14:paraId="68CE9A34" w14:textId="77777777" w:rsidR="009F6351" w:rsidRPr="00363550" w:rsidRDefault="009F6351" w:rsidP="00874E20">
            <w:pPr>
              <w:spacing w:line="480" w:lineRule="auto"/>
            </w:pPr>
          </w:p>
        </w:tc>
        <w:tc>
          <w:tcPr>
            <w:tcW w:w="2338" w:type="dxa"/>
          </w:tcPr>
          <w:p w14:paraId="58FEB034" w14:textId="77777777" w:rsidR="009F6351" w:rsidRPr="00363550" w:rsidRDefault="009F6351" w:rsidP="00874E20">
            <w:pPr>
              <w:spacing w:line="480" w:lineRule="auto"/>
            </w:pPr>
          </w:p>
        </w:tc>
        <w:tc>
          <w:tcPr>
            <w:tcW w:w="2338" w:type="dxa"/>
          </w:tcPr>
          <w:p w14:paraId="3DBAA9A3" w14:textId="77777777" w:rsidR="009F6351" w:rsidRPr="00363550" w:rsidRDefault="009F6351" w:rsidP="00874E20">
            <w:pPr>
              <w:spacing w:line="480" w:lineRule="auto"/>
            </w:pPr>
            <w:r>
              <w:t>1.301</w:t>
            </w:r>
          </w:p>
        </w:tc>
      </w:tr>
      <w:tr w:rsidR="009F6351" w:rsidRPr="00363550" w14:paraId="38A7E99A" w14:textId="77777777" w:rsidTr="00874E20">
        <w:tc>
          <w:tcPr>
            <w:tcW w:w="2337" w:type="dxa"/>
          </w:tcPr>
          <w:p w14:paraId="5A63CA31" w14:textId="77777777" w:rsidR="009F6351" w:rsidRDefault="009F6351" w:rsidP="00874E20">
            <w:pPr>
              <w:spacing w:line="480" w:lineRule="auto"/>
            </w:pPr>
            <w:r>
              <w:t xml:space="preserve">Mid-level enclave </w:t>
            </w:r>
          </w:p>
        </w:tc>
        <w:tc>
          <w:tcPr>
            <w:tcW w:w="2337" w:type="dxa"/>
          </w:tcPr>
          <w:p w14:paraId="4150A3D3" w14:textId="77777777" w:rsidR="009F6351" w:rsidRPr="00363550" w:rsidRDefault="009F6351" w:rsidP="00874E20">
            <w:pPr>
              <w:spacing w:line="480" w:lineRule="auto"/>
            </w:pPr>
          </w:p>
        </w:tc>
        <w:tc>
          <w:tcPr>
            <w:tcW w:w="2338" w:type="dxa"/>
          </w:tcPr>
          <w:p w14:paraId="4DA9B051" w14:textId="77777777" w:rsidR="009F6351" w:rsidRPr="00363550" w:rsidRDefault="009F6351" w:rsidP="00874E20">
            <w:pPr>
              <w:spacing w:line="480" w:lineRule="auto"/>
            </w:pPr>
          </w:p>
        </w:tc>
        <w:tc>
          <w:tcPr>
            <w:tcW w:w="2338" w:type="dxa"/>
          </w:tcPr>
          <w:p w14:paraId="01DDE507" w14:textId="77777777" w:rsidR="009F6351" w:rsidRPr="00363550" w:rsidRDefault="009F6351" w:rsidP="00874E20">
            <w:pPr>
              <w:spacing w:line="480" w:lineRule="auto"/>
            </w:pPr>
            <w:r>
              <w:t>1.648*</w:t>
            </w:r>
          </w:p>
        </w:tc>
      </w:tr>
    </w:tbl>
    <w:p w14:paraId="5D2A7211" w14:textId="2B486A59" w:rsidR="009F6351" w:rsidRDefault="009F6351" w:rsidP="00B51638">
      <w:pPr>
        <w:spacing w:line="480" w:lineRule="auto"/>
        <w:ind w:firstLine="720"/>
      </w:pPr>
    </w:p>
    <w:p w14:paraId="601D3C39" w14:textId="20A93294" w:rsidR="00B875A7" w:rsidRDefault="00647188" w:rsidP="00B51638">
      <w:pPr>
        <w:spacing w:line="480" w:lineRule="auto"/>
        <w:ind w:firstLine="720"/>
      </w:pPr>
      <w:r>
        <w:t>Model 2</w:t>
      </w:r>
      <w:r w:rsidR="00805F7F">
        <w:t xml:space="preserve"> introduces </w:t>
      </w:r>
      <w:r w:rsidR="00F50C91">
        <w:t xml:space="preserve">individual-level variables </w:t>
      </w:r>
      <w:r w:rsidR="00805F7F">
        <w:t>predicting who is asked about citizenship status and it allows for i</w:t>
      </w:r>
      <w:r w:rsidR="00F50C91">
        <w:t xml:space="preserve">ntercepts and slopes to vary across Level 2.  </w:t>
      </w:r>
      <w:r w:rsidR="00805F7F">
        <w:t>Results show that between neighborhood differences observed in Model 1 remain statistically significant after accounting for individual attributes.  As expected, being first- or second-generation has a positive and statistically significant effect on the probability of law enforcement officers asking about citizenship status net of the influence of Latina/o ethnicity, sex, and age.  In particular, b</w:t>
      </w:r>
      <w:r w:rsidR="0040709A">
        <w:t xml:space="preserve">eing </w:t>
      </w:r>
      <w:r w:rsidR="0040709A">
        <w:lastRenderedPageBreak/>
        <w:t xml:space="preserve">first-generation, in contrast to third-generation and later, is associated with an increase in the likelihood of being asked about citizenship status by law enforcement by 83 percent. </w:t>
      </w:r>
      <w:r w:rsidR="00100CB2">
        <w:t xml:space="preserve">Being </w:t>
      </w:r>
      <w:r w:rsidR="0040709A">
        <w:t>second-generation increases the likelihood of being asked about citizenship by law enforcement by 86 percent, in contrast to those who are third</w:t>
      </w:r>
      <w:r w:rsidR="00100CB2">
        <w:t>-</w:t>
      </w:r>
      <w:r w:rsidR="0040709A">
        <w:t xml:space="preserve"> and later</w:t>
      </w:r>
      <w:r w:rsidR="00100CB2">
        <w:t>-</w:t>
      </w:r>
      <w:r w:rsidR="0040709A">
        <w:t xml:space="preserve">generations.  Among the demographic controls, </w:t>
      </w:r>
      <w:r w:rsidR="00100CB2">
        <w:t xml:space="preserve">only age is statistically significant.  Specifically, </w:t>
      </w:r>
      <w:r w:rsidR="0040709A">
        <w:t xml:space="preserve">a one-unit increase in age is associated with a </w:t>
      </w:r>
      <w:r w:rsidR="00B875A7">
        <w:t xml:space="preserve">97 </w:t>
      </w:r>
      <w:r w:rsidR="00281277">
        <w:t xml:space="preserve">percent </w:t>
      </w:r>
      <w:r w:rsidR="0040709A">
        <w:t>decrease</w:t>
      </w:r>
      <w:r w:rsidR="00B875A7">
        <w:t xml:space="preserve"> in the likelihood of being asked about citizenship status by law enforcement</w:t>
      </w:r>
      <w:r w:rsidR="0040709A">
        <w:t xml:space="preserve">. </w:t>
      </w:r>
      <w:r w:rsidR="00407B78">
        <w:t xml:space="preserve"> Interestingly, identifying as Latina/o is not associated with a greater likelihood of being asked about citizenship status.  </w:t>
      </w:r>
      <w:r w:rsidR="00281277">
        <w:t>Again, we</w:t>
      </w:r>
      <w:r w:rsidR="00407B78">
        <w:t xml:space="preserve"> suspect that this occurrence may be attributed to El Paso, where the study is situated, is 86 percent Latina/o.  Thus, law enforcement may be looking for identifiers, other than ethnicity, to determine who may be undocumented.  </w:t>
      </w:r>
    </w:p>
    <w:p w14:paraId="4460FDBF" w14:textId="23282383" w:rsidR="008B6BEE" w:rsidRDefault="00B875A7" w:rsidP="00B51638">
      <w:pPr>
        <w:spacing w:line="480" w:lineRule="auto"/>
        <w:ind w:firstLine="720"/>
      </w:pPr>
      <w:r>
        <w:t xml:space="preserve">Model 3, the population-average model with robust standard errors, contains valuable information concerning neighborhood effects (third column of Table </w:t>
      </w:r>
      <w:r w:rsidR="001F7AB1">
        <w:t>2</w:t>
      </w:r>
      <w:r>
        <w:t xml:space="preserve">).  </w:t>
      </w:r>
      <w:r w:rsidR="005144D0">
        <w:t>T</w:t>
      </w:r>
      <w:r w:rsidR="008B6BEE">
        <w:t xml:space="preserve">he neighborhood-level predictors of </w:t>
      </w:r>
      <w:r w:rsidR="005C204E">
        <w:t xml:space="preserve">poverty and </w:t>
      </w:r>
      <w:r w:rsidR="008B6BEE">
        <w:t>enclavishness do extend our understanding of who is asked about citizenship status.</w:t>
      </w:r>
      <w:r w:rsidR="007A4F4F">
        <w:t xml:space="preserve"> Living in a neighborhood that is considered mid-ranged in terms of enclavishness (</w:t>
      </w:r>
      <w:r w:rsidR="005144D0">
        <w:t xml:space="preserve">i.e. acculturation to </w:t>
      </w:r>
      <w:r w:rsidR="004643C7">
        <w:rPr>
          <w:rFonts w:eastAsia="Calibri"/>
        </w:rPr>
        <w:t>México</w:t>
      </w:r>
      <w:r w:rsidR="005144D0">
        <w:t>, percent foreign-born, percent foreign-born not naturalized, transnational, percent monolingual Spanish at home, and percent Mexican-origin</w:t>
      </w:r>
      <w:r w:rsidR="007A4F4F">
        <w:t xml:space="preserve">), as oppose to large levels of enclavishness, influences the likelihood of being asked about citizenship status by law enforcement by 52 percent.  </w:t>
      </w:r>
      <w:r w:rsidR="00F10F39">
        <w:t xml:space="preserve">This is an interesting outcome.  </w:t>
      </w:r>
      <w:r w:rsidR="00B44620">
        <w:t>Insights from the literature suggest that foreign-born tend to live in ethnic enclaves (</w:t>
      </w:r>
      <w:r w:rsidR="00C62930">
        <w:t xml:space="preserve">e.g., </w:t>
      </w:r>
      <w:r w:rsidR="00C62930" w:rsidRPr="00FD25FC">
        <w:rPr>
          <w:rFonts w:eastAsia="Calibri"/>
        </w:rPr>
        <w:t>Portes and Bach 1985; Portes and Manning 1985; and Portes and Stepick 1985; but see also Model 1985</w:t>
      </w:r>
      <w:r w:rsidR="00B44620" w:rsidRPr="00C62930">
        <w:t>)</w:t>
      </w:r>
      <w:r w:rsidR="00B44620">
        <w:t xml:space="preserve"> and </w:t>
      </w:r>
      <w:r w:rsidR="00C62930">
        <w:t xml:space="preserve">that </w:t>
      </w:r>
      <w:r w:rsidR="00B44620">
        <w:t xml:space="preserve">undocumented immigrants </w:t>
      </w:r>
      <w:r w:rsidR="00C62930">
        <w:t xml:space="preserve">may </w:t>
      </w:r>
      <w:r w:rsidR="00B44620">
        <w:t>restrict their driving to avoid interactions with law enforcement</w:t>
      </w:r>
      <w:r w:rsidR="00C62930">
        <w:t xml:space="preserve"> given traffic violations is a form of “back door” policing of immigration </w:t>
      </w:r>
      <w:r w:rsidR="00B44620">
        <w:t>(</w:t>
      </w:r>
      <w:r w:rsidR="00C62930">
        <w:t xml:space="preserve">see Armenta, 2016; </w:t>
      </w:r>
      <w:r w:rsidR="00C62930">
        <w:rPr>
          <w:rFonts w:eastAsia="Calibri"/>
        </w:rPr>
        <w:t>Provine et al., 2016</w:t>
      </w:r>
      <w:r w:rsidR="00B44620">
        <w:t xml:space="preserve">). </w:t>
      </w:r>
      <w:r w:rsidR="00F10F39">
        <w:t xml:space="preserve">We suspect that those who live in neighborhoods with mid-levels of </w:t>
      </w:r>
      <w:r w:rsidR="00F10F39">
        <w:lastRenderedPageBreak/>
        <w:t xml:space="preserve">enclavisheness may be </w:t>
      </w:r>
      <w:r w:rsidR="00C62930">
        <w:t xml:space="preserve">integrated into the city and </w:t>
      </w:r>
      <w:r w:rsidR="00F10F39">
        <w:t xml:space="preserve">more mobile than those who live in high enclave neighborhoods </w:t>
      </w:r>
      <w:r w:rsidR="00C62930">
        <w:t xml:space="preserve">whose mobility is constricted in these segregated </w:t>
      </w:r>
      <w:r w:rsidR="00F10F39">
        <w:t>neighborhood</w:t>
      </w:r>
      <w:r w:rsidR="00C62930">
        <w:t>s</w:t>
      </w:r>
      <w:r w:rsidR="00F10F39">
        <w:t xml:space="preserve">. </w:t>
      </w:r>
      <w:r w:rsidR="00281277">
        <w:t xml:space="preserve">Another possibility is that those residing in mid-level enclave neighborhoods may be more aware of being profiled and more willing to report the incident in contrast to the residents living in neighborhoods with </w:t>
      </w:r>
      <w:r w:rsidR="00934529">
        <w:t xml:space="preserve">high levels of enclave characteristics.  </w:t>
      </w:r>
      <w:r w:rsidR="00F10F39">
        <w:t>Unfortunately, we do not have data to test this hypothesis further</w:t>
      </w:r>
      <w:r w:rsidR="00B44620">
        <w:t xml:space="preserve">.  </w:t>
      </w:r>
      <w:r w:rsidR="00F10F39">
        <w:t xml:space="preserve">In regrades to neighborhood-level poverty, </w:t>
      </w:r>
      <w:r w:rsidR="002D0E57">
        <w:t xml:space="preserve">a percentage increase in </w:t>
      </w:r>
      <w:r w:rsidR="00F10F39">
        <w:t xml:space="preserve">households that earn less than $10,000 a year </w:t>
      </w:r>
      <w:r w:rsidR="002D0E57">
        <w:t xml:space="preserve">corresponds to an </w:t>
      </w:r>
      <w:r w:rsidR="00F10F39">
        <w:t xml:space="preserve">almost 3 percent </w:t>
      </w:r>
      <w:r w:rsidR="002D0E57">
        <w:t>rise</w:t>
      </w:r>
      <w:r w:rsidR="00F10F39">
        <w:t xml:space="preserve"> in the odds of being questioned about citizenship status by law enforcement.   </w:t>
      </w:r>
      <w:r w:rsidR="007A4F4F">
        <w:t xml:space="preserve"> </w:t>
      </w:r>
      <w:r w:rsidR="008B6BEE">
        <w:t xml:space="preserve">  </w:t>
      </w:r>
    </w:p>
    <w:p w14:paraId="321FA9D7" w14:textId="2272668B" w:rsidR="001E45E5" w:rsidRPr="00DA6AA9" w:rsidRDefault="005144D0" w:rsidP="00DA6AA9">
      <w:pPr>
        <w:spacing w:line="480" w:lineRule="auto"/>
        <w:ind w:firstLine="720"/>
      </w:pPr>
      <w:r w:rsidRPr="00DA6AA9">
        <w:t>We determine</w:t>
      </w:r>
      <w:r w:rsidR="00B44620" w:rsidRPr="00DA6AA9">
        <w:t>d</w:t>
      </w:r>
      <w:r w:rsidRPr="00DA6AA9">
        <w:t xml:space="preserve"> </w:t>
      </w:r>
      <w:r w:rsidR="00B44620" w:rsidRPr="00DA6AA9">
        <w:t xml:space="preserve">that </w:t>
      </w:r>
      <w:r w:rsidRPr="00DA6AA9">
        <w:t xml:space="preserve">neighborhood-level factors </w:t>
      </w:r>
      <w:r w:rsidR="00B44620" w:rsidRPr="00DA6AA9">
        <w:t xml:space="preserve">do </w:t>
      </w:r>
      <w:r w:rsidRPr="00DA6AA9">
        <w:t>moderate the relationship between individual-level factors and being questioned about citizenship status</w:t>
      </w:r>
      <w:r w:rsidR="00B44620" w:rsidRPr="00DA6AA9">
        <w:t xml:space="preserve">, although </w:t>
      </w:r>
      <w:r w:rsidR="00DA6AA9" w:rsidRPr="00DA6AA9">
        <w:t xml:space="preserve">the </w:t>
      </w:r>
      <w:r w:rsidR="00B44620" w:rsidRPr="00DA6AA9">
        <w:t>significance and direction of influence of individual-level factors remains the same</w:t>
      </w:r>
      <w:r w:rsidRPr="00DA6AA9">
        <w:t xml:space="preserve">.  </w:t>
      </w:r>
      <w:r w:rsidR="00DA6AA9" w:rsidRPr="00DA6AA9">
        <w:t xml:space="preserve">The effect of generational status exerts a positive and significant effect on the likelihood of being asked about citizenship status by law enforcement, even after introducing individual- and neighborhood-level variables.  </w:t>
      </w:r>
      <w:r w:rsidRPr="00DA6AA9">
        <w:t xml:space="preserve">In </w:t>
      </w:r>
      <w:r w:rsidR="00DA6AA9" w:rsidRPr="00DA6AA9">
        <w:t>particular,</w:t>
      </w:r>
      <w:r w:rsidR="00DA6AA9">
        <w:t xml:space="preserve"> </w:t>
      </w:r>
      <w:r w:rsidR="00DA6AA9" w:rsidRPr="00DA6AA9">
        <w:t>the</w:t>
      </w:r>
      <w:r w:rsidRPr="00DA6AA9">
        <w:t xml:space="preserve"> likelihood of being asked about citizenship status by law enforcement was 93 percent higher among first- and 89 percent higher among the second-generation, in contrast to third-and-later generations.</w:t>
      </w:r>
      <w:r>
        <w:t xml:space="preserve"> </w:t>
      </w:r>
    </w:p>
    <w:p w14:paraId="5B52F7B6" w14:textId="225187AF" w:rsidR="00063B12" w:rsidRPr="00F819C9" w:rsidRDefault="00DA6AA9" w:rsidP="00DA6AA9">
      <w:pPr>
        <w:spacing w:line="480" w:lineRule="auto"/>
        <w:rPr>
          <w:rFonts w:eastAsia="Calibri"/>
          <w:u w:val="single"/>
        </w:rPr>
      </w:pPr>
      <w:r>
        <w:rPr>
          <w:rFonts w:eastAsia="Calibri"/>
        </w:rPr>
        <w:t>CONCLUSION</w:t>
      </w:r>
    </w:p>
    <w:p w14:paraId="18F5EF6A" w14:textId="5D197F56" w:rsidR="00063B12" w:rsidRDefault="00911AFA" w:rsidP="00911AFA">
      <w:pPr>
        <w:spacing w:line="480" w:lineRule="auto"/>
        <w:ind w:firstLine="720"/>
        <w:rPr>
          <w:rFonts w:eastAsia="Calibri"/>
        </w:rPr>
      </w:pPr>
      <w:r>
        <w:rPr>
          <w:rFonts w:eastAsia="Calibri"/>
        </w:rPr>
        <w:t xml:space="preserve">Based on primary research on </w:t>
      </w:r>
      <w:r w:rsidR="00DA6AA9">
        <w:rPr>
          <w:rFonts w:eastAsia="Calibri"/>
        </w:rPr>
        <w:t xml:space="preserve">677 </w:t>
      </w:r>
      <w:r>
        <w:rPr>
          <w:rFonts w:eastAsia="Calibri"/>
        </w:rPr>
        <w:t xml:space="preserve">individuals residing in </w:t>
      </w:r>
      <w:r w:rsidR="00DA6AA9">
        <w:rPr>
          <w:rFonts w:eastAsia="Calibri"/>
        </w:rPr>
        <w:t>46</w:t>
      </w:r>
      <w:r w:rsidR="00105EC9">
        <w:rPr>
          <w:rFonts w:eastAsia="Calibri"/>
        </w:rPr>
        <w:t xml:space="preserve"> neighborhoods, this study used</w:t>
      </w:r>
      <w:r>
        <w:rPr>
          <w:rFonts w:eastAsia="Calibri"/>
        </w:rPr>
        <w:t xml:space="preserve"> HGLM methods to investigate </w:t>
      </w:r>
      <w:r w:rsidR="00DA6AA9">
        <w:rPr>
          <w:rFonts w:eastAsia="Calibri"/>
        </w:rPr>
        <w:t xml:space="preserve">the likelihood of being questioned about citizenship status by </w:t>
      </w:r>
      <w:r>
        <w:rPr>
          <w:rFonts w:eastAsia="Calibri"/>
        </w:rPr>
        <w:t>law enforcement</w:t>
      </w:r>
      <w:r w:rsidR="007330DA">
        <w:rPr>
          <w:rFonts w:eastAsia="Calibri"/>
        </w:rPr>
        <w:t xml:space="preserve"> along the U.S.-</w:t>
      </w:r>
      <w:r w:rsidR="004643C7" w:rsidRPr="004643C7">
        <w:rPr>
          <w:rFonts w:eastAsia="Calibri"/>
        </w:rPr>
        <w:t xml:space="preserve"> </w:t>
      </w:r>
      <w:r w:rsidR="004643C7">
        <w:rPr>
          <w:rFonts w:eastAsia="Calibri"/>
        </w:rPr>
        <w:t>México</w:t>
      </w:r>
      <w:r w:rsidR="007330DA">
        <w:rPr>
          <w:rFonts w:eastAsia="Calibri"/>
        </w:rPr>
        <w:t xml:space="preserve"> border city of El Paso</w:t>
      </w:r>
      <w:r w:rsidR="009513CF">
        <w:rPr>
          <w:rFonts w:eastAsia="Calibri"/>
        </w:rPr>
        <w:t>, Texas</w:t>
      </w:r>
      <w:r w:rsidR="00DA6AA9">
        <w:rPr>
          <w:rFonts w:eastAsia="Calibri"/>
        </w:rPr>
        <w:t xml:space="preserve">.  </w:t>
      </w:r>
      <w:r w:rsidR="00105EC9">
        <w:rPr>
          <w:rFonts w:eastAsia="Calibri"/>
        </w:rPr>
        <w:t>The answer to this question has implications for understanding racial and citizenship profiling particularly among Latina/os who are the numerical majority in this region.  Moreover, a</w:t>
      </w:r>
      <w:r w:rsidR="004510B3">
        <w:rPr>
          <w:rFonts w:eastAsia="Calibri"/>
        </w:rPr>
        <w:t xml:space="preserve">s noted by Coutin (2011) given the shift from national to local immigration policing efforts </w:t>
      </w:r>
      <w:r w:rsidR="00E10A61">
        <w:rPr>
          <w:rFonts w:eastAsia="Calibri"/>
        </w:rPr>
        <w:t xml:space="preserve">it is more important than ever </w:t>
      </w:r>
      <w:r w:rsidR="00E10A61">
        <w:rPr>
          <w:rFonts w:eastAsia="Calibri"/>
        </w:rPr>
        <w:lastRenderedPageBreak/>
        <w:t>before for law enforcement to make distinctions between citizens and non-c</w:t>
      </w:r>
      <w:r w:rsidR="009513CF">
        <w:rPr>
          <w:rFonts w:eastAsia="Calibri"/>
        </w:rPr>
        <w:t>i</w:t>
      </w:r>
      <w:r w:rsidR="00E10A61">
        <w:rPr>
          <w:rFonts w:eastAsia="Calibri"/>
        </w:rPr>
        <w:t xml:space="preserve">tizens.  </w:t>
      </w:r>
      <w:r w:rsidR="00105EC9">
        <w:rPr>
          <w:rFonts w:eastAsia="Calibri"/>
        </w:rPr>
        <w:t xml:space="preserve">Furthermore, </w:t>
      </w:r>
      <w:r>
        <w:rPr>
          <w:rFonts w:eastAsia="Calibri"/>
        </w:rPr>
        <w:t>we also examine the neighborhood effects on who is asked</w:t>
      </w:r>
      <w:r w:rsidR="00F25378">
        <w:rPr>
          <w:rFonts w:eastAsia="Calibri"/>
        </w:rPr>
        <w:t xml:space="preserve"> about citizenship</w:t>
      </w:r>
      <w:r w:rsidR="009513CF">
        <w:rPr>
          <w:rFonts w:eastAsia="Calibri"/>
        </w:rPr>
        <w:t xml:space="preserve"> status</w:t>
      </w:r>
      <w:r>
        <w:rPr>
          <w:rFonts w:eastAsia="Calibri"/>
        </w:rPr>
        <w:t xml:space="preserve">, thus </w:t>
      </w:r>
      <w:r w:rsidR="00995B19">
        <w:rPr>
          <w:rFonts w:eastAsia="Calibri"/>
        </w:rPr>
        <w:t xml:space="preserve">investigating the </w:t>
      </w:r>
      <w:r>
        <w:rPr>
          <w:rFonts w:eastAsia="Calibri"/>
        </w:rPr>
        <w:t xml:space="preserve">structural impact on </w:t>
      </w:r>
      <w:r w:rsidR="00DA6AA9">
        <w:rPr>
          <w:rFonts w:eastAsia="Calibri"/>
        </w:rPr>
        <w:t xml:space="preserve">citizenship profiling. </w:t>
      </w:r>
      <w:r w:rsidR="000A29CF">
        <w:rPr>
          <w:rFonts w:eastAsia="Calibri"/>
        </w:rPr>
        <w:t xml:space="preserve">We found that even in </w:t>
      </w:r>
      <w:r w:rsidR="009513CF">
        <w:rPr>
          <w:rFonts w:eastAsia="Calibri"/>
        </w:rPr>
        <w:t xml:space="preserve">El Paso who has </w:t>
      </w:r>
      <w:r w:rsidR="000A29CF">
        <w:rPr>
          <w:rFonts w:eastAsia="Calibri"/>
        </w:rPr>
        <w:t xml:space="preserve">no formal agreements with the federal government for the policing of immigration, </w:t>
      </w:r>
      <w:r w:rsidR="009513CF">
        <w:rPr>
          <w:rFonts w:eastAsia="Calibri"/>
        </w:rPr>
        <w:t xml:space="preserve">not only do </w:t>
      </w:r>
      <w:r w:rsidR="000A29CF">
        <w:rPr>
          <w:rFonts w:eastAsia="Calibri"/>
        </w:rPr>
        <w:t>law enforcement interact with immigrants</w:t>
      </w:r>
      <w:r w:rsidR="00105EC9">
        <w:rPr>
          <w:rFonts w:eastAsia="Calibri"/>
        </w:rPr>
        <w:t>,</w:t>
      </w:r>
      <w:r w:rsidR="000A29CF">
        <w:rPr>
          <w:rFonts w:eastAsia="Calibri"/>
        </w:rPr>
        <w:t xml:space="preserve"> </w:t>
      </w:r>
      <w:r w:rsidR="009513CF">
        <w:rPr>
          <w:rFonts w:eastAsia="Calibri"/>
        </w:rPr>
        <w:t xml:space="preserve">but </w:t>
      </w:r>
      <w:r w:rsidR="00105EC9">
        <w:rPr>
          <w:rFonts w:eastAsia="Calibri"/>
        </w:rPr>
        <w:t xml:space="preserve">they </w:t>
      </w:r>
      <w:r w:rsidR="009513CF">
        <w:rPr>
          <w:rFonts w:eastAsia="Calibri"/>
        </w:rPr>
        <w:t xml:space="preserve">also </w:t>
      </w:r>
      <w:r w:rsidR="000A29CF">
        <w:rPr>
          <w:rFonts w:eastAsia="Calibri"/>
        </w:rPr>
        <w:t>engage in citizenship profiling.</w:t>
      </w:r>
    </w:p>
    <w:p w14:paraId="149598DE" w14:textId="5E02CEA1" w:rsidR="00105EC9" w:rsidRDefault="006C2DFA" w:rsidP="00063B12">
      <w:pPr>
        <w:spacing w:line="480" w:lineRule="auto"/>
        <w:rPr>
          <w:rFonts w:eastAsia="Calibri"/>
        </w:rPr>
      </w:pPr>
      <w:r w:rsidRPr="006C2DFA">
        <w:rPr>
          <w:rFonts w:eastAsia="Calibri"/>
        </w:rPr>
        <w:tab/>
      </w:r>
      <w:r w:rsidR="00995B19">
        <w:rPr>
          <w:rFonts w:eastAsia="Calibri"/>
        </w:rPr>
        <w:t>So, w</w:t>
      </w:r>
      <w:r w:rsidR="00373CC8">
        <w:rPr>
          <w:rFonts w:eastAsia="Calibri"/>
        </w:rPr>
        <w:t xml:space="preserve">ho does law enforcement perceive as undocumented?  </w:t>
      </w:r>
      <w:r w:rsidR="00105EC9">
        <w:rPr>
          <w:rFonts w:eastAsia="Calibri"/>
        </w:rPr>
        <w:t xml:space="preserve">Building upon qualitative research, our </w:t>
      </w:r>
      <w:r w:rsidR="00373CC8">
        <w:rPr>
          <w:rFonts w:eastAsia="Calibri"/>
        </w:rPr>
        <w:t xml:space="preserve">study </w:t>
      </w:r>
      <w:r w:rsidR="00105EC9">
        <w:rPr>
          <w:rFonts w:eastAsia="Calibri"/>
        </w:rPr>
        <w:t xml:space="preserve">found statistical evidence that </w:t>
      </w:r>
      <w:r w:rsidR="00373CC8">
        <w:rPr>
          <w:rFonts w:eastAsia="Calibri"/>
        </w:rPr>
        <w:t>first- and second-generation are more likely to be questioned about their citizenship status by law enforcement</w:t>
      </w:r>
      <w:r w:rsidR="00246989">
        <w:rPr>
          <w:rFonts w:eastAsia="Calibri"/>
        </w:rPr>
        <w:t xml:space="preserve"> </w:t>
      </w:r>
      <w:r w:rsidR="009513CF">
        <w:rPr>
          <w:rFonts w:eastAsia="Calibri"/>
        </w:rPr>
        <w:t xml:space="preserve">than individuals who are third-generations and later </w:t>
      </w:r>
      <w:r w:rsidR="00246989">
        <w:rPr>
          <w:rFonts w:eastAsia="Calibri"/>
        </w:rPr>
        <w:t xml:space="preserve">regardless of </w:t>
      </w:r>
      <w:r w:rsidR="00995B19">
        <w:rPr>
          <w:rFonts w:eastAsia="Calibri"/>
        </w:rPr>
        <w:t xml:space="preserve">sex, Latina/o ethnicity, age, and the </w:t>
      </w:r>
      <w:r w:rsidR="00246989">
        <w:rPr>
          <w:rFonts w:eastAsia="Calibri"/>
        </w:rPr>
        <w:t>neighborhood characteristics of poverty and level of enclavishness</w:t>
      </w:r>
      <w:r w:rsidR="00373CC8">
        <w:rPr>
          <w:rFonts w:eastAsia="Calibri"/>
        </w:rPr>
        <w:t xml:space="preserve">.  The implications </w:t>
      </w:r>
      <w:r w:rsidR="00246989">
        <w:rPr>
          <w:rFonts w:eastAsia="Calibri"/>
        </w:rPr>
        <w:t xml:space="preserve">of </w:t>
      </w:r>
      <w:r w:rsidR="007C4AE8">
        <w:rPr>
          <w:rFonts w:eastAsia="Calibri"/>
        </w:rPr>
        <w:t xml:space="preserve">our </w:t>
      </w:r>
      <w:r w:rsidR="00246989">
        <w:rPr>
          <w:rFonts w:eastAsia="Calibri"/>
        </w:rPr>
        <w:t xml:space="preserve">finding for </w:t>
      </w:r>
      <w:r w:rsidR="00373CC8">
        <w:rPr>
          <w:rFonts w:eastAsia="Calibri"/>
        </w:rPr>
        <w:t xml:space="preserve">the first-and second-generations are vast.  </w:t>
      </w:r>
      <w:r w:rsidR="00246989">
        <w:rPr>
          <w:rFonts w:eastAsia="Calibri"/>
        </w:rPr>
        <w:t xml:space="preserve">First, </w:t>
      </w:r>
      <w:r w:rsidR="007330DA">
        <w:rPr>
          <w:rFonts w:eastAsia="Calibri"/>
        </w:rPr>
        <w:t xml:space="preserve">both first- and second-generation individuals are subjected to </w:t>
      </w:r>
      <w:r w:rsidR="00246989">
        <w:rPr>
          <w:rFonts w:eastAsia="Calibri"/>
        </w:rPr>
        <w:t>constricted freedom and more prone to criminalization</w:t>
      </w:r>
      <w:r w:rsidR="007330DA">
        <w:rPr>
          <w:rFonts w:eastAsia="Calibri"/>
        </w:rPr>
        <w:t xml:space="preserve"> in contrast to third- and later-generations, since they are subjected to </w:t>
      </w:r>
      <w:r w:rsidR="00373CC8">
        <w:rPr>
          <w:rFonts w:eastAsia="Calibri"/>
        </w:rPr>
        <w:t>heighten levels of surveillance</w:t>
      </w:r>
      <w:r w:rsidR="00246989">
        <w:rPr>
          <w:rFonts w:eastAsia="Calibri"/>
        </w:rPr>
        <w:t xml:space="preserve">.  Second, in regards to policing, questions arise about the </w:t>
      </w:r>
      <w:r w:rsidR="00CD0A1C">
        <w:rPr>
          <w:rFonts w:eastAsia="Calibri"/>
        </w:rPr>
        <w:t xml:space="preserve">implications of citizenship profiling for community policing </w:t>
      </w:r>
      <w:r w:rsidR="00246989">
        <w:rPr>
          <w:rFonts w:eastAsia="Calibri"/>
        </w:rPr>
        <w:t xml:space="preserve">that involves the </w:t>
      </w:r>
      <w:r w:rsidR="00CD0A1C">
        <w:rPr>
          <w:rFonts w:eastAsia="Calibri"/>
        </w:rPr>
        <w:t xml:space="preserve">protection </w:t>
      </w:r>
      <w:r w:rsidR="00246989">
        <w:rPr>
          <w:rFonts w:eastAsia="Calibri"/>
        </w:rPr>
        <w:t xml:space="preserve">and collaboration </w:t>
      </w:r>
      <w:r w:rsidR="00CD0A1C">
        <w:rPr>
          <w:rFonts w:eastAsia="Calibri"/>
        </w:rPr>
        <w:t>of all residents</w:t>
      </w:r>
      <w:r w:rsidR="009513CF">
        <w:rPr>
          <w:rFonts w:eastAsia="Calibri"/>
        </w:rPr>
        <w:t xml:space="preserve"> including immigrants</w:t>
      </w:r>
      <w:r w:rsidR="003404B9">
        <w:rPr>
          <w:rFonts w:eastAsia="Calibri"/>
        </w:rPr>
        <w:t xml:space="preserve">.  </w:t>
      </w:r>
      <w:r w:rsidR="009513CF">
        <w:rPr>
          <w:rFonts w:eastAsia="Calibri"/>
        </w:rPr>
        <w:t xml:space="preserve">Third, being that first generation are </w:t>
      </w:r>
      <w:r w:rsidR="007C4AE8">
        <w:rPr>
          <w:rFonts w:eastAsia="Calibri"/>
        </w:rPr>
        <w:t xml:space="preserve">disproportionately </w:t>
      </w:r>
      <w:r w:rsidR="009513CF">
        <w:rPr>
          <w:rFonts w:eastAsia="Calibri"/>
        </w:rPr>
        <w:t xml:space="preserve">subjected to citizenship profiling and that among them are undocumented migrants it is important to </w:t>
      </w:r>
      <w:r w:rsidR="007C4AE8">
        <w:rPr>
          <w:rFonts w:eastAsia="Calibri"/>
        </w:rPr>
        <w:t xml:space="preserve">evaluate policing procedures on </w:t>
      </w:r>
      <w:r w:rsidR="003404B9">
        <w:rPr>
          <w:rFonts w:eastAsia="Calibri"/>
        </w:rPr>
        <w:t xml:space="preserve">what </w:t>
      </w:r>
      <w:r w:rsidR="00246989">
        <w:rPr>
          <w:rFonts w:eastAsia="Calibri"/>
        </w:rPr>
        <w:t>type of identification is accept</w:t>
      </w:r>
      <w:r w:rsidR="007C4AE8">
        <w:rPr>
          <w:rFonts w:eastAsia="Calibri"/>
        </w:rPr>
        <w:t xml:space="preserve">ed </w:t>
      </w:r>
      <w:r w:rsidR="00246989">
        <w:rPr>
          <w:rFonts w:eastAsia="Calibri"/>
        </w:rPr>
        <w:t xml:space="preserve">and </w:t>
      </w:r>
      <w:r w:rsidR="00105EC9">
        <w:rPr>
          <w:rFonts w:eastAsia="Calibri"/>
        </w:rPr>
        <w:t>consider given the consequences of arrest that can lead to deportation</w:t>
      </w:r>
      <w:r w:rsidR="007C4AE8">
        <w:rPr>
          <w:rFonts w:eastAsia="Calibri"/>
        </w:rPr>
        <w:t xml:space="preserve">.  </w:t>
      </w:r>
      <w:r w:rsidR="00105EC9">
        <w:rPr>
          <w:rFonts w:eastAsia="Calibri"/>
        </w:rPr>
        <w:t xml:space="preserve">  </w:t>
      </w:r>
    </w:p>
    <w:p w14:paraId="1C50CB56" w14:textId="61B273AB" w:rsidR="00246989" w:rsidRDefault="00246989" w:rsidP="00F819CC">
      <w:pPr>
        <w:spacing w:line="480" w:lineRule="auto"/>
        <w:rPr>
          <w:rFonts w:eastAsia="Calibri"/>
        </w:rPr>
      </w:pPr>
      <w:r>
        <w:rPr>
          <w:rFonts w:eastAsia="Calibri"/>
        </w:rPr>
        <w:tab/>
      </w:r>
      <w:r w:rsidR="003404B9">
        <w:rPr>
          <w:rFonts w:eastAsia="Calibri"/>
        </w:rPr>
        <w:t xml:space="preserve">The </w:t>
      </w:r>
      <w:r w:rsidR="007C4AE8">
        <w:rPr>
          <w:rFonts w:eastAsia="Calibri"/>
        </w:rPr>
        <w:t>effects of neighborhood-level factors of poverty and level of enclavishness on being questioned about citizenship status were</w:t>
      </w:r>
      <w:r w:rsidR="003404B9">
        <w:rPr>
          <w:rFonts w:eastAsia="Calibri"/>
        </w:rPr>
        <w:t xml:space="preserve"> accessed.  </w:t>
      </w:r>
      <w:r w:rsidR="00B578B1">
        <w:rPr>
          <w:rFonts w:eastAsia="Calibri"/>
        </w:rPr>
        <w:t xml:space="preserve">Residents in poverty neighborhoods are more likely to be questioned about citizenship status by law enforcement.  Thus, the salience of poverty and heighten levels of policing also apply to the issue of citizenship profiling.  To access </w:t>
      </w:r>
      <w:r w:rsidR="00B578B1">
        <w:rPr>
          <w:rFonts w:eastAsia="Calibri"/>
        </w:rPr>
        <w:lastRenderedPageBreak/>
        <w:t xml:space="preserve">the </w:t>
      </w:r>
      <w:r w:rsidR="001B065F">
        <w:rPr>
          <w:rFonts w:eastAsia="Calibri"/>
        </w:rPr>
        <w:t xml:space="preserve">neighborhood-level </w:t>
      </w:r>
      <w:r w:rsidR="00B578B1">
        <w:rPr>
          <w:rFonts w:eastAsia="Calibri"/>
        </w:rPr>
        <w:t>impact of ethnic enclaves we used an array of indicators based on survey and American Community Survey data on t</w:t>
      </w:r>
      <w:r w:rsidR="00B578B1">
        <w:t xml:space="preserve">ransnationalism (survey), acculturation to </w:t>
      </w:r>
      <w:r w:rsidR="00B578B1">
        <w:rPr>
          <w:rFonts w:eastAsia="Calibri"/>
        </w:rPr>
        <w:t>México</w:t>
      </w:r>
      <w:r w:rsidR="00B578B1">
        <w:t xml:space="preserve"> (survey), percent foreign-born, percent foreign-born not naturalized (ACS), percent Spanish only at home (ACS), and percent Mexican-origin (ACS).  </w:t>
      </w:r>
      <w:r w:rsidR="00B578B1">
        <w:rPr>
          <w:rFonts w:eastAsia="Calibri"/>
        </w:rPr>
        <w:t>W</w:t>
      </w:r>
      <w:r w:rsidR="00995B19">
        <w:rPr>
          <w:rFonts w:eastAsia="Calibri"/>
        </w:rPr>
        <w:t>e f</w:t>
      </w:r>
      <w:r w:rsidR="00B578B1">
        <w:rPr>
          <w:rFonts w:eastAsia="Calibri"/>
        </w:rPr>
        <w:t xml:space="preserve">ound that </w:t>
      </w:r>
      <w:r w:rsidR="00995B19">
        <w:rPr>
          <w:rFonts w:eastAsia="Calibri"/>
        </w:rPr>
        <w:t>t</w:t>
      </w:r>
      <w:r w:rsidR="007B25F2">
        <w:rPr>
          <w:rFonts w:eastAsia="Calibri"/>
        </w:rPr>
        <w:t>hose who reside in n</w:t>
      </w:r>
      <w:r w:rsidR="00CB044D">
        <w:rPr>
          <w:rFonts w:eastAsia="Calibri"/>
        </w:rPr>
        <w:t xml:space="preserve">eighborhoods that with mid-levels of enclavishness </w:t>
      </w:r>
      <w:r w:rsidR="007B25F2">
        <w:rPr>
          <w:rFonts w:eastAsia="Calibri"/>
        </w:rPr>
        <w:t xml:space="preserve">are more likely to be </w:t>
      </w:r>
      <w:r w:rsidR="00CB044D">
        <w:rPr>
          <w:rFonts w:eastAsia="Calibri"/>
        </w:rPr>
        <w:t xml:space="preserve">questioned by law enforcement about their citizenship status than those living in high enclave neighborhoods. </w:t>
      </w:r>
      <w:r w:rsidR="00995B19">
        <w:rPr>
          <w:rFonts w:eastAsia="Calibri"/>
        </w:rPr>
        <w:t>This advance</w:t>
      </w:r>
      <w:r w:rsidR="00F83834">
        <w:rPr>
          <w:rFonts w:eastAsia="Calibri"/>
        </w:rPr>
        <w:t>d</w:t>
      </w:r>
      <w:r w:rsidR="00995B19">
        <w:rPr>
          <w:rFonts w:eastAsia="Calibri"/>
        </w:rPr>
        <w:t xml:space="preserve"> our understanding of ethnic enclaves in a couple of ways.  First, the concept of the ethnic enclave has largely been examined for its economic implications</w:t>
      </w:r>
      <w:r w:rsidR="00C32CE5">
        <w:rPr>
          <w:rFonts w:eastAsia="Calibri"/>
        </w:rPr>
        <w:t xml:space="preserve"> and we </w:t>
      </w:r>
      <w:r w:rsidR="00F83834">
        <w:rPr>
          <w:rFonts w:eastAsia="Calibri"/>
        </w:rPr>
        <w:t xml:space="preserve">found </w:t>
      </w:r>
      <w:r w:rsidR="00C32CE5">
        <w:rPr>
          <w:rFonts w:eastAsia="Calibri"/>
        </w:rPr>
        <w:t xml:space="preserve">it is also influences </w:t>
      </w:r>
      <w:r w:rsidR="0080147B">
        <w:rPr>
          <w:rFonts w:eastAsia="Calibri"/>
        </w:rPr>
        <w:t xml:space="preserve">the </w:t>
      </w:r>
      <w:r w:rsidR="00C32CE5">
        <w:rPr>
          <w:rFonts w:eastAsia="Calibri"/>
        </w:rPr>
        <w:t xml:space="preserve">policing of its residents.  Second, </w:t>
      </w:r>
      <w:r w:rsidR="001266C5">
        <w:rPr>
          <w:rFonts w:eastAsia="Calibri"/>
        </w:rPr>
        <w:t xml:space="preserve">we found that the impact of ethnic enclaves is not linear when it comes to policing.  </w:t>
      </w:r>
      <w:r w:rsidR="0080147B">
        <w:rPr>
          <w:rFonts w:eastAsia="Calibri"/>
        </w:rPr>
        <w:t xml:space="preserve">In line with the ethnic enclave literature that described these </w:t>
      </w:r>
      <w:r w:rsidR="00091A12">
        <w:rPr>
          <w:rFonts w:eastAsia="Calibri"/>
        </w:rPr>
        <w:t xml:space="preserve">neighborhood </w:t>
      </w:r>
      <w:r w:rsidR="0080147B">
        <w:rPr>
          <w:rFonts w:eastAsia="Calibri"/>
        </w:rPr>
        <w:t>clusters a</w:t>
      </w:r>
      <w:r w:rsidR="00091A12">
        <w:rPr>
          <w:rFonts w:eastAsia="Calibri"/>
        </w:rPr>
        <w:t>s</w:t>
      </w:r>
      <w:r w:rsidR="0080147B">
        <w:rPr>
          <w:rFonts w:eastAsia="Calibri"/>
        </w:rPr>
        <w:t xml:space="preserve"> protective </w:t>
      </w:r>
      <w:r w:rsidR="0080147B" w:rsidRPr="00A24DDB">
        <w:rPr>
          <w:rFonts w:eastAsia="Calibri"/>
        </w:rPr>
        <w:t>(e.g.</w:t>
      </w:r>
      <w:r w:rsidR="0080147B" w:rsidRPr="00591901">
        <w:rPr>
          <w:rFonts w:eastAsia="Calibri"/>
        </w:rPr>
        <w:t xml:space="preserve"> </w:t>
      </w:r>
      <w:r w:rsidR="0080147B" w:rsidRPr="00EF4292">
        <w:rPr>
          <w:rFonts w:eastAsia="Calibri"/>
        </w:rPr>
        <w:t>Portes and Bach 1985; Zhou 1992</w:t>
      </w:r>
      <w:r w:rsidR="0080147B">
        <w:rPr>
          <w:rFonts w:eastAsia="Calibri"/>
        </w:rPr>
        <w:t>)</w:t>
      </w:r>
      <w:r w:rsidR="00091A12">
        <w:rPr>
          <w:rFonts w:eastAsia="Calibri"/>
        </w:rPr>
        <w:t>,</w:t>
      </w:r>
      <w:r w:rsidR="0080147B">
        <w:rPr>
          <w:rFonts w:eastAsia="Calibri"/>
        </w:rPr>
        <w:t xml:space="preserve"> residents in high enclave neighborhoods are less likely to be questioned about citizenship status than those who reside in neighborhoods that exhibited less enclave features (mid-level of enclavishness).  </w:t>
      </w:r>
      <w:r w:rsidR="00CB044D">
        <w:rPr>
          <w:rFonts w:eastAsia="Calibri"/>
        </w:rPr>
        <w:t xml:space="preserve">We suspect that those </w:t>
      </w:r>
      <w:r w:rsidR="007B25F2">
        <w:rPr>
          <w:rFonts w:eastAsia="Calibri"/>
        </w:rPr>
        <w:t xml:space="preserve">who reside </w:t>
      </w:r>
      <w:r w:rsidR="00CB044D">
        <w:rPr>
          <w:rFonts w:eastAsia="Calibri"/>
        </w:rPr>
        <w:t>in mid-level enclave neighborhoods are</w:t>
      </w:r>
      <w:r>
        <w:rPr>
          <w:rFonts w:eastAsia="Calibri"/>
        </w:rPr>
        <w:t xml:space="preserve"> more likely to be asked about their citizenship status </w:t>
      </w:r>
      <w:r w:rsidR="007B25F2">
        <w:rPr>
          <w:rFonts w:eastAsia="Calibri"/>
        </w:rPr>
        <w:t>because they may be more integrated into the city and thus more visible and mobile in contrast to those who live in high enclave neighborhoods who may be more segregated.  Unfortunately, data limitations d</w:t>
      </w:r>
      <w:r w:rsidR="0080147B">
        <w:rPr>
          <w:rFonts w:eastAsia="Calibri"/>
        </w:rPr>
        <w:t xml:space="preserve">id </w:t>
      </w:r>
      <w:r w:rsidR="007B25F2">
        <w:rPr>
          <w:rFonts w:eastAsia="Calibri"/>
        </w:rPr>
        <w:t xml:space="preserve">not allow for us to test this theory further.  </w:t>
      </w:r>
    </w:p>
    <w:p w14:paraId="6ADDC4B1" w14:textId="527B2D54" w:rsidR="003404B9" w:rsidRDefault="003404B9" w:rsidP="00246989">
      <w:pPr>
        <w:spacing w:line="480" w:lineRule="auto"/>
        <w:rPr>
          <w:rFonts w:eastAsia="Calibri"/>
        </w:rPr>
      </w:pPr>
      <w:r>
        <w:rPr>
          <w:rFonts w:eastAsia="Calibri"/>
        </w:rPr>
        <w:tab/>
      </w:r>
      <w:r w:rsidR="007B25F2">
        <w:rPr>
          <w:rFonts w:eastAsia="Calibri"/>
        </w:rPr>
        <w:t xml:space="preserve">Therefore, a </w:t>
      </w:r>
      <w:r>
        <w:rPr>
          <w:rFonts w:eastAsia="Calibri"/>
        </w:rPr>
        <w:t xml:space="preserve">limitation of this study is not having information on where and the </w:t>
      </w:r>
      <w:r w:rsidR="001266C5">
        <w:rPr>
          <w:rFonts w:eastAsia="Calibri"/>
        </w:rPr>
        <w:t xml:space="preserve">types of </w:t>
      </w:r>
      <w:r>
        <w:rPr>
          <w:rFonts w:eastAsia="Calibri"/>
        </w:rPr>
        <w:t xml:space="preserve">activities that individuals were involved in when they were questioned by law enforcement.  </w:t>
      </w:r>
      <w:r w:rsidR="007B25F2">
        <w:rPr>
          <w:rFonts w:eastAsia="Calibri"/>
        </w:rPr>
        <w:t>Having</w:t>
      </w:r>
      <w:r>
        <w:rPr>
          <w:rFonts w:eastAsia="Calibri"/>
        </w:rPr>
        <w:t xml:space="preserve"> this information can strengthen our analysis of neighborhood effects.  We do not know if individuals were question in their neighborhoods or elsewhere, what we do know is that </w:t>
      </w:r>
      <w:r w:rsidR="007B25F2">
        <w:rPr>
          <w:rFonts w:eastAsia="Calibri"/>
        </w:rPr>
        <w:t>where you live matters</w:t>
      </w:r>
      <w:r w:rsidR="001266C5">
        <w:rPr>
          <w:rFonts w:eastAsia="Calibri"/>
        </w:rPr>
        <w:t xml:space="preserve"> and there is neighborhood variation in who gets targeted for questioning about their citizenship status</w:t>
      </w:r>
      <w:r w:rsidR="007B25F2">
        <w:rPr>
          <w:rFonts w:eastAsia="Calibri"/>
        </w:rPr>
        <w:t xml:space="preserve">.  </w:t>
      </w:r>
      <w:r w:rsidR="00AB717E">
        <w:rPr>
          <w:rFonts w:eastAsia="Calibri"/>
        </w:rPr>
        <w:t xml:space="preserve">Another limitation is not having accurate information on undocumented </w:t>
      </w:r>
      <w:r w:rsidR="00AB717E">
        <w:rPr>
          <w:rFonts w:eastAsia="Calibri"/>
        </w:rPr>
        <w:lastRenderedPageBreak/>
        <w:t>status.  While we did try to capture undocumented status</w:t>
      </w:r>
      <w:r w:rsidR="001266C5">
        <w:rPr>
          <w:rFonts w:eastAsia="Calibri"/>
        </w:rPr>
        <w:t>,</w:t>
      </w:r>
      <w:r w:rsidR="00AB717E">
        <w:rPr>
          <w:rFonts w:eastAsia="Calibri"/>
        </w:rPr>
        <w:t xml:space="preserve"> we could not use this variable because of missing data.  </w:t>
      </w:r>
    </w:p>
    <w:p w14:paraId="5041A0CF" w14:textId="113D1F34" w:rsidR="00246989" w:rsidRDefault="003F202B" w:rsidP="001814EC">
      <w:pPr>
        <w:spacing w:line="480" w:lineRule="auto"/>
        <w:ind w:firstLine="720"/>
        <w:rPr>
          <w:rFonts w:eastAsia="Calibri"/>
        </w:rPr>
      </w:pPr>
      <w:r>
        <w:rPr>
          <w:rFonts w:eastAsia="Calibri"/>
        </w:rPr>
        <w:t>In sum, o</w:t>
      </w:r>
      <w:r w:rsidR="00AB717E">
        <w:rPr>
          <w:rFonts w:eastAsia="Calibri"/>
        </w:rPr>
        <w:t xml:space="preserve">ur primary data </w:t>
      </w:r>
      <w:r w:rsidR="001266C5">
        <w:rPr>
          <w:rFonts w:eastAsia="Calibri"/>
        </w:rPr>
        <w:t xml:space="preserve">was designed to conduct a </w:t>
      </w:r>
      <w:r w:rsidR="00AB717E">
        <w:rPr>
          <w:rFonts w:eastAsia="Calibri"/>
        </w:rPr>
        <w:t>multilevel analysis on citizenship profiling</w:t>
      </w:r>
      <w:r w:rsidR="007B25F2">
        <w:rPr>
          <w:rFonts w:eastAsia="Calibri"/>
        </w:rPr>
        <w:t xml:space="preserve"> along the U.S.-</w:t>
      </w:r>
      <w:r w:rsidR="004643C7" w:rsidRPr="004643C7">
        <w:rPr>
          <w:rFonts w:eastAsia="Calibri"/>
        </w:rPr>
        <w:t xml:space="preserve"> </w:t>
      </w:r>
      <w:r w:rsidR="004643C7">
        <w:rPr>
          <w:rFonts w:eastAsia="Calibri"/>
        </w:rPr>
        <w:t>México</w:t>
      </w:r>
      <w:r w:rsidR="007B25F2">
        <w:rPr>
          <w:rFonts w:eastAsia="Calibri"/>
        </w:rPr>
        <w:t xml:space="preserve"> border</w:t>
      </w:r>
      <w:r w:rsidR="003D64EC">
        <w:rPr>
          <w:rFonts w:eastAsia="Calibri"/>
        </w:rPr>
        <w:t xml:space="preserve"> that allowed for an investigation of individual and neighborhood effects</w:t>
      </w:r>
      <w:r w:rsidR="00B25C90">
        <w:rPr>
          <w:rFonts w:eastAsia="Calibri"/>
        </w:rPr>
        <w:t xml:space="preserve">.  </w:t>
      </w:r>
      <w:r w:rsidR="00AB717E">
        <w:rPr>
          <w:rFonts w:eastAsia="Calibri"/>
        </w:rPr>
        <w:t xml:space="preserve">To date, we have gained important insights on the </w:t>
      </w:r>
      <w:r w:rsidR="00E10A61">
        <w:rPr>
          <w:rFonts w:eastAsia="Calibri"/>
        </w:rPr>
        <w:t xml:space="preserve">implications of policing </w:t>
      </w:r>
      <w:r w:rsidR="00A12858">
        <w:rPr>
          <w:rFonts w:eastAsia="Calibri"/>
        </w:rPr>
        <w:t>immigration at the individual-level</w:t>
      </w:r>
      <w:r w:rsidR="00AB717E">
        <w:rPr>
          <w:rFonts w:eastAsia="Calibri"/>
        </w:rPr>
        <w:t xml:space="preserve"> from qualitative </w:t>
      </w:r>
      <w:r w:rsidR="001266C5">
        <w:rPr>
          <w:rFonts w:eastAsia="Calibri"/>
        </w:rPr>
        <w:t xml:space="preserve">and policy </w:t>
      </w:r>
      <w:r w:rsidR="00AB717E">
        <w:rPr>
          <w:rFonts w:eastAsia="Calibri"/>
        </w:rPr>
        <w:t>analyses</w:t>
      </w:r>
      <w:r w:rsidR="00A12858">
        <w:rPr>
          <w:rFonts w:eastAsia="Calibri"/>
        </w:rPr>
        <w:t xml:space="preserve"> that revealed an array of negati</w:t>
      </w:r>
      <w:r w:rsidR="00AD0ED9">
        <w:rPr>
          <w:rFonts w:eastAsia="Calibri"/>
        </w:rPr>
        <w:t>ve consequences including racial</w:t>
      </w:r>
      <w:r w:rsidR="00A12858">
        <w:rPr>
          <w:rFonts w:eastAsia="Calibri"/>
        </w:rPr>
        <w:t xml:space="preserve"> profiling</w:t>
      </w:r>
      <w:r w:rsidR="004510B3">
        <w:rPr>
          <w:rFonts w:eastAsia="Calibri"/>
        </w:rPr>
        <w:t xml:space="preserve"> and criminalization of Latina/os</w:t>
      </w:r>
      <w:r w:rsidR="00A12858">
        <w:rPr>
          <w:rFonts w:eastAsia="Calibri"/>
        </w:rPr>
        <w:t xml:space="preserve"> (</w:t>
      </w:r>
      <w:r w:rsidR="00E10A61">
        <w:rPr>
          <w:rFonts w:eastAsia="Calibri"/>
        </w:rPr>
        <w:t xml:space="preserve">Heyman, 2010; </w:t>
      </w:r>
      <w:r w:rsidR="00A12858">
        <w:t xml:space="preserve">Kennis, 2011; </w:t>
      </w:r>
      <w:r w:rsidR="004510B3" w:rsidRPr="005E7C00">
        <w:rPr>
          <w:rFonts w:eastAsia="Calibri"/>
        </w:rPr>
        <w:t>Longazel</w:t>
      </w:r>
      <w:r w:rsidR="004510B3">
        <w:rPr>
          <w:rFonts w:eastAsia="Calibri"/>
        </w:rPr>
        <w:t xml:space="preserve">, </w:t>
      </w:r>
      <w:r w:rsidR="004510B3" w:rsidRPr="005E7C00">
        <w:rPr>
          <w:rFonts w:eastAsia="Calibri"/>
        </w:rPr>
        <w:t>2013</w:t>
      </w:r>
      <w:r w:rsidR="004510B3">
        <w:rPr>
          <w:rFonts w:eastAsia="Calibri"/>
        </w:rPr>
        <w:t xml:space="preserve">; </w:t>
      </w:r>
      <w:r w:rsidR="00A12858">
        <w:rPr>
          <w:rFonts w:eastAsia="Calibri"/>
        </w:rPr>
        <w:t>Provine et al., 2016</w:t>
      </w:r>
      <w:r w:rsidR="00E10A61">
        <w:rPr>
          <w:rFonts w:eastAsia="Calibri"/>
        </w:rPr>
        <w:t xml:space="preserve">; </w:t>
      </w:r>
      <w:r w:rsidR="00D266DC">
        <w:rPr>
          <w:rFonts w:eastAsia="Calibri"/>
        </w:rPr>
        <w:t xml:space="preserve">Provine and Sanchez, 2011; </w:t>
      </w:r>
      <w:r w:rsidR="004510B3">
        <w:t>Saenz et al., 2011</w:t>
      </w:r>
      <w:r w:rsidR="00E10A61">
        <w:t xml:space="preserve">), removal and </w:t>
      </w:r>
      <w:r w:rsidR="00A12858">
        <w:t>deportation (</w:t>
      </w:r>
      <w:r w:rsidR="00E10A61">
        <w:rPr>
          <w:rFonts w:eastAsia="Calibri"/>
        </w:rPr>
        <w:t xml:space="preserve">Armenta, 2016; </w:t>
      </w:r>
      <w:r w:rsidR="00A12858">
        <w:t xml:space="preserve">Provine et al., 2016; </w:t>
      </w:r>
      <w:r w:rsidR="00A12858" w:rsidRPr="00295502">
        <w:t>Golash-Boza</w:t>
      </w:r>
      <w:r w:rsidR="00A12858">
        <w:t>,</w:t>
      </w:r>
      <w:r w:rsidR="00A12858" w:rsidRPr="00295502">
        <w:t xml:space="preserve"> 2012</w:t>
      </w:r>
      <w:r w:rsidR="00A12858">
        <w:t xml:space="preserve">; </w:t>
      </w:r>
      <w:r w:rsidR="00E10A61" w:rsidRPr="00CE1735">
        <w:rPr>
          <w:rFonts w:eastAsia="Calibri"/>
        </w:rPr>
        <w:t>Motomura</w:t>
      </w:r>
      <w:r w:rsidR="00E10A61">
        <w:rPr>
          <w:rFonts w:eastAsia="Calibri"/>
        </w:rPr>
        <w:t>,</w:t>
      </w:r>
      <w:r w:rsidR="00E10A61" w:rsidRPr="00CE1735">
        <w:rPr>
          <w:rFonts w:eastAsia="Calibri"/>
        </w:rPr>
        <w:t xml:space="preserve"> 2011</w:t>
      </w:r>
      <w:r w:rsidR="00E10A61">
        <w:rPr>
          <w:rFonts w:eastAsia="Calibri"/>
        </w:rPr>
        <w:t xml:space="preserve">), and </w:t>
      </w:r>
      <w:r w:rsidR="00A12858">
        <w:rPr>
          <w:rFonts w:eastAsia="Calibri"/>
        </w:rPr>
        <w:t xml:space="preserve">compromising community policing efforts </w:t>
      </w:r>
      <w:r w:rsidR="00A12858">
        <w:t>(Nygun and Gill, 2016)</w:t>
      </w:r>
      <w:r w:rsidR="00AB717E">
        <w:rPr>
          <w:rFonts w:eastAsia="Calibri"/>
        </w:rPr>
        <w:t xml:space="preserve">.  </w:t>
      </w:r>
      <w:r w:rsidR="00E10A61">
        <w:rPr>
          <w:rFonts w:eastAsia="Calibri"/>
        </w:rPr>
        <w:t>At the neighborhood-level there has been less attention given to the policing of immigration</w:t>
      </w:r>
      <w:r w:rsidR="00215E8C">
        <w:rPr>
          <w:rFonts w:eastAsia="Calibri"/>
        </w:rPr>
        <w:t xml:space="preserve">.  An important exception is </w:t>
      </w:r>
      <w:r w:rsidR="00E10A61">
        <w:rPr>
          <w:rFonts w:eastAsia="Calibri"/>
        </w:rPr>
        <w:t xml:space="preserve">Mary Romero’s (2006) analysis of the Chandler Roundups in Arizona who found residents </w:t>
      </w:r>
      <w:r>
        <w:rPr>
          <w:rFonts w:eastAsia="Calibri"/>
        </w:rPr>
        <w:t xml:space="preserve">of </w:t>
      </w:r>
      <w:r w:rsidR="00E10A61">
        <w:rPr>
          <w:rFonts w:eastAsia="Calibri"/>
        </w:rPr>
        <w:t xml:space="preserve">Latina/o </w:t>
      </w:r>
      <w:r>
        <w:rPr>
          <w:rFonts w:eastAsia="Calibri"/>
        </w:rPr>
        <w:t xml:space="preserve">neighborhoods being disproportionately targeted.  </w:t>
      </w:r>
      <w:r w:rsidR="00AB717E">
        <w:rPr>
          <w:rFonts w:eastAsia="Calibri"/>
        </w:rPr>
        <w:t xml:space="preserve">We </w:t>
      </w:r>
      <w:r>
        <w:rPr>
          <w:rFonts w:eastAsia="Calibri"/>
        </w:rPr>
        <w:t xml:space="preserve">contribute to this </w:t>
      </w:r>
      <w:r w:rsidR="00AB717E">
        <w:rPr>
          <w:rFonts w:eastAsia="Calibri"/>
        </w:rPr>
        <w:t xml:space="preserve">scholarship by </w:t>
      </w:r>
      <w:r>
        <w:rPr>
          <w:rFonts w:eastAsia="Calibri"/>
        </w:rPr>
        <w:t xml:space="preserve">establishing </w:t>
      </w:r>
      <w:r w:rsidR="00215E8C">
        <w:rPr>
          <w:rFonts w:eastAsia="Calibri"/>
        </w:rPr>
        <w:t xml:space="preserve">that first- and second-generation individuals and those who reside in neighborhoods characterized by poverty and mid-level of enclavishness are disproportionately questioned about their citizenship status by </w:t>
      </w:r>
      <w:r w:rsidR="000A29CF">
        <w:rPr>
          <w:rFonts w:eastAsia="Calibri"/>
        </w:rPr>
        <w:t>law enforcement</w:t>
      </w:r>
      <w:r w:rsidR="00215E8C">
        <w:rPr>
          <w:rFonts w:eastAsia="Calibri"/>
        </w:rPr>
        <w:t xml:space="preserve">.  </w:t>
      </w:r>
    </w:p>
    <w:p w14:paraId="25C90315" w14:textId="77777777" w:rsidR="006F29D6" w:rsidRPr="00047719" w:rsidRDefault="006F29D6" w:rsidP="001814EC">
      <w:pPr>
        <w:spacing w:line="480" w:lineRule="auto"/>
        <w:ind w:firstLine="720"/>
        <w:rPr>
          <w:rFonts w:eastAsia="Calibri"/>
        </w:rPr>
      </w:pPr>
    </w:p>
    <w:p w14:paraId="56A63F50" w14:textId="58655B74" w:rsidR="0019649B" w:rsidRDefault="00903936" w:rsidP="0004124E">
      <w:pPr>
        <w:spacing w:line="480" w:lineRule="auto"/>
      </w:pPr>
      <w:r>
        <w:t xml:space="preserve">REFERENCES  </w:t>
      </w:r>
    </w:p>
    <w:p w14:paraId="469B549A" w14:textId="77777777" w:rsidR="000F4977" w:rsidRPr="0004124E" w:rsidRDefault="000F4977" w:rsidP="00091A12">
      <w:pPr>
        <w:spacing w:line="480" w:lineRule="auto"/>
      </w:pPr>
      <w:r w:rsidRPr="0004124E">
        <w:t xml:space="preserve">American Community Survey. “Five-year 2008-2015 Census Tract Data for El Paso </w:t>
      </w:r>
    </w:p>
    <w:p w14:paraId="50097215" w14:textId="77777777" w:rsidR="000F4977" w:rsidRPr="0004124E" w:rsidRDefault="000F4977" w:rsidP="0004124E">
      <w:pPr>
        <w:spacing w:line="480" w:lineRule="auto"/>
      </w:pPr>
      <w:r w:rsidRPr="0004124E">
        <w:tab/>
        <w:t xml:space="preserve">County, Texas.” Accessed  March 2, 2015 </w:t>
      </w:r>
      <w:hyperlink r:id="rId9" w:history="1">
        <w:r w:rsidRPr="0004124E">
          <w:rPr>
            <w:rStyle w:val="Hyperlink"/>
          </w:rPr>
          <w:t>https://www.census.gov/programs</w:t>
        </w:r>
      </w:hyperlink>
    </w:p>
    <w:p w14:paraId="156A7D2D" w14:textId="77777777" w:rsidR="000F4977" w:rsidRPr="00091A12" w:rsidRDefault="000F4977" w:rsidP="0004124E">
      <w:pPr>
        <w:spacing w:line="480" w:lineRule="auto"/>
        <w:ind w:firstLine="720"/>
        <w:rPr>
          <w:lang w:val="es-MX"/>
        </w:rPr>
      </w:pPr>
      <w:r w:rsidRPr="00091A12">
        <w:rPr>
          <w:lang w:val="es-MX"/>
        </w:rPr>
        <w:t>surveys/acs/</w:t>
      </w:r>
    </w:p>
    <w:p w14:paraId="3150F041" w14:textId="77777777" w:rsidR="000F4977" w:rsidRPr="0004124E" w:rsidRDefault="000F4977" w:rsidP="0004124E">
      <w:pPr>
        <w:spacing w:line="480" w:lineRule="auto"/>
      </w:pPr>
      <w:r w:rsidRPr="00091A12">
        <w:rPr>
          <w:lang w:val="es-MX"/>
        </w:rPr>
        <w:t xml:space="preserve">Arizona et al. </w:t>
      </w:r>
      <w:r w:rsidRPr="0004124E">
        <w:t>Petitioners  v. United States.567 U.S. 132 s. ct. 2492.  (2012) Docket no.11-182</w:t>
      </w:r>
    </w:p>
    <w:p w14:paraId="091DBD57" w14:textId="77777777" w:rsidR="000F4977" w:rsidRPr="0004124E" w:rsidRDefault="000F4977">
      <w:pPr>
        <w:spacing w:line="480" w:lineRule="auto"/>
        <w:ind w:firstLine="720"/>
      </w:pPr>
      <w:r w:rsidRPr="0004124E">
        <w:t xml:space="preserve">Supreme Court of the United States </w:t>
      </w:r>
    </w:p>
    <w:p w14:paraId="54F57045" w14:textId="77777777" w:rsidR="000F4977" w:rsidRPr="0004124E" w:rsidRDefault="000F4977">
      <w:pPr>
        <w:spacing w:line="480" w:lineRule="auto"/>
        <w:rPr>
          <w:color w:val="222222"/>
        </w:rPr>
      </w:pPr>
      <w:r w:rsidRPr="0004124E">
        <w:rPr>
          <w:color w:val="222222"/>
        </w:rPr>
        <w:lastRenderedPageBreak/>
        <w:t>Armenta, Amada. “From Sheriff's Deputies to Immigration Officers: Screening</w:t>
      </w:r>
    </w:p>
    <w:p w14:paraId="66E0F3B6" w14:textId="77777777" w:rsidR="000F4977" w:rsidRPr="0004124E" w:rsidRDefault="000F4977">
      <w:pPr>
        <w:spacing w:line="480" w:lineRule="auto"/>
        <w:ind w:firstLine="720"/>
        <w:rPr>
          <w:color w:val="222222"/>
        </w:rPr>
      </w:pPr>
      <w:r w:rsidRPr="0004124E">
        <w:rPr>
          <w:color w:val="222222"/>
        </w:rPr>
        <w:t xml:space="preserve">Immigrant in a Tennessee Jail”. </w:t>
      </w:r>
      <w:r w:rsidRPr="0004124E">
        <w:rPr>
          <w:i/>
          <w:iCs/>
          <w:color w:val="222222"/>
        </w:rPr>
        <w:t>Law &amp; Policy</w:t>
      </w:r>
      <w:r w:rsidRPr="0004124E">
        <w:rPr>
          <w:iCs/>
          <w:color w:val="222222"/>
        </w:rPr>
        <w:t xml:space="preserve"> 34</w:t>
      </w:r>
      <w:r w:rsidRPr="0004124E">
        <w:rPr>
          <w:color w:val="222222"/>
        </w:rPr>
        <w:t xml:space="preserve">, </w:t>
      </w:r>
      <w:r w:rsidRPr="0004124E">
        <w:rPr>
          <w:i/>
          <w:iCs/>
          <w:color w:val="222222"/>
        </w:rPr>
        <w:t>no.</w:t>
      </w:r>
      <w:r w:rsidRPr="0004124E">
        <w:rPr>
          <w:color w:val="222222"/>
        </w:rPr>
        <w:t>2 (2012): 191-210.</w:t>
      </w:r>
      <w:r w:rsidRPr="0004124E">
        <w:rPr>
          <w:rFonts w:ascii="Arial" w:hAnsi="Arial" w:cs="Arial"/>
          <w:color w:val="333333"/>
          <w:sz w:val="23"/>
          <w:szCs w:val="23"/>
          <w:shd w:val="clear" w:color="auto" w:fill="FDFDFD"/>
        </w:rPr>
        <w:t xml:space="preserve"> </w:t>
      </w:r>
    </w:p>
    <w:p w14:paraId="5EF2757E" w14:textId="4F52B216" w:rsidR="000F4977" w:rsidRPr="0004124E" w:rsidRDefault="000F4977">
      <w:pPr>
        <w:spacing w:line="480" w:lineRule="auto"/>
        <w:ind w:firstLine="720"/>
        <w:rPr>
          <w:color w:val="333333"/>
          <w:shd w:val="clear" w:color="auto" w:fill="FDFDFD"/>
        </w:rPr>
      </w:pPr>
      <w:r w:rsidRPr="0004124E">
        <w:rPr>
          <w:color w:val="333333"/>
          <w:shd w:val="clear" w:color="auto" w:fill="FDFDFD"/>
        </w:rPr>
        <w:t>doi:10.1111/j.1467-9930.2011.00359.x</w:t>
      </w:r>
    </w:p>
    <w:p w14:paraId="4C21D251" w14:textId="035912DA" w:rsidR="009D3EF7" w:rsidRPr="0004124E" w:rsidRDefault="009D3EF7">
      <w:pPr>
        <w:spacing w:line="480" w:lineRule="auto"/>
      </w:pPr>
      <w:r w:rsidRPr="0004124E">
        <w:rPr>
          <w:color w:val="333333"/>
          <w:shd w:val="clear" w:color="auto" w:fill="FDFDFD"/>
        </w:rPr>
        <w:t xml:space="preserve">_____. </w:t>
      </w:r>
      <w:r w:rsidRPr="0004124E">
        <w:t xml:space="preserve">“Between Public Service and Social Control: Policing Dilemmas in the Era of Immigration Enforcement.” </w:t>
      </w:r>
      <w:r w:rsidRPr="0004124E">
        <w:rPr>
          <w:i/>
        </w:rPr>
        <w:t>Social Problems</w:t>
      </w:r>
      <w:r w:rsidRPr="0004124E">
        <w:t xml:space="preserve"> 63 (2016):111-126.  </w:t>
      </w:r>
    </w:p>
    <w:p w14:paraId="16923D97" w14:textId="77777777" w:rsidR="000F4977" w:rsidRPr="0004124E" w:rsidRDefault="000F4977">
      <w:pPr>
        <w:spacing w:line="480" w:lineRule="auto"/>
      </w:pPr>
      <w:r w:rsidRPr="0004124E">
        <w:t>Bejarano, Cynthia, Morales, Maria Cristina, and Said Saddiki. “A Comparative Analysis</w:t>
      </w:r>
    </w:p>
    <w:p w14:paraId="03518308" w14:textId="77777777" w:rsidR="000F4977" w:rsidRPr="0004124E" w:rsidRDefault="000F4977">
      <w:pPr>
        <w:spacing w:line="480" w:lineRule="auto"/>
        <w:ind w:firstLine="720"/>
      </w:pPr>
      <w:r w:rsidRPr="0004124E">
        <w:t>of the Mexico U.S. and Moroccan-Spanish Regions: Understanding Conquest through a</w:t>
      </w:r>
    </w:p>
    <w:p w14:paraId="691C6DB8" w14:textId="77777777" w:rsidR="000F4977" w:rsidRPr="0004124E" w:rsidRDefault="000F4977">
      <w:pPr>
        <w:spacing w:line="480" w:lineRule="auto"/>
        <w:ind w:firstLine="720"/>
        <w:rPr>
          <w:iCs/>
        </w:rPr>
      </w:pPr>
      <w:r w:rsidRPr="0004124E">
        <w:t xml:space="preserve">Border Lens.” In </w:t>
      </w:r>
      <w:r w:rsidRPr="0004124E">
        <w:rPr>
          <w:i/>
          <w:iCs/>
        </w:rPr>
        <w:t xml:space="preserve">Beyond Walls and Cages: Prisons, Borders, and Global Crisis., </w:t>
      </w:r>
      <w:r w:rsidRPr="0004124E">
        <w:rPr>
          <w:iCs/>
        </w:rPr>
        <w:t>edited</w:t>
      </w:r>
    </w:p>
    <w:p w14:paraId="02AA254F" w14:textId="77777777" w:rsidR="000F4977" w:rsidRPr="0004124E" w:rsidRDefault="000F4977">
      <w:pPr>
        <w:spacing w:line="480" w:lineRule="auto"/>
        <w:ind w:firstLine="720"/>
      </w:pPr>
      <w:r w:rsidRPr="0004124E">
        <w:rPr>
          <w:iCs/>
        </w:rPr>
        <w:t xml:space="preserve">by </w:t>
      </w:r>
      <w:r w:rsidRPr="0004124E">
        <w:t xml:space="preserve">Jenna M. Lloyd, Matt Mitchelson and Andrew Burridge, </w:t>
      </w:r>
      <w:r w:rsidRPr="0004124E">
        <w:rPr>
          <w:iCs/>
        </w:rPr>
        <w:t>27-41</w:t>
      </w:r>
      <w:r w:rsidRPr="0004124E">
        <w:t>. University of</w:t>
      </w:r>
      <w:r w:rsidRPr="0004124E">
        <w:rPr>
          <w:i/>
          <w:iCs/>
        </w:rPr>
        <w:t xml:space="preserve"> </w:t>
      </w:r>
      <w:r w:rsidRPr="0004124E">
        <w:t>Georgia</w:t>
      </w:r>
    </w:p>
    <w:p w14:paraId="5465FCAC" w14:textId="2F4D1F1C" w:rsidR="000F4977" w:rsidRPr="0004124E" w:rsidRDefault="000F4977" w:rsidP="00091A12">
      <w:pPr>
        <w:spacing w:line="480" w:lineRule="auto"/>
        <w:ind w:firstLine="720"/>
        <w:contextualSpacing/>
      </w:pPr>
      <w:r w:rsidRPr="0004124E">
        <w:t>Press, 2012</w:t>
      </w:r>
    </w:p>
    <w:p w14:paraId="4C7D369C" w14:textId="77777777" w:rsidR="009D3EF7" w:rsidRPr="0004124E" w:rsidRDefault="009D3EF7" w:rsidP="00091A12">
      <w:pPr>
        <w:pStyle w:val="NormalWeb"/>
        <w:spacing w:line="480" w:lineRule="auto"/>
        <w:contextualSpacing/>
      </w:pPr>
      <w:r w:rsidRPr="0004124E">
        <w:t xml:space="preserve">Borunda, D. “El Paso Ranked Safest Large City in U.S. for 3rd Straight Year.” </w:t>
      </w:r>
      <w:r w:rsidRPr="0004124E">
        <w:rPr>
          <w:i/>
        </w:rPr>
        <w:t>El Paso Times</w:t>
      </w:r>
      <w:r w:rsidRPr="0004124E">
        <w:t xml:space="preserve">. </w:t>
      </w:r>
    </w:p>
    <w:p w14:paraId="73245030" w14:textId="0105C3A8" w:rsidR="009D3EF7" w:rsidRPr="0004124E" w:rsidRDefault="009D3EF7" w:rsidP="00091A12">
      <w:pPr>
        <w:pStyle w:val="NormalWeb"/>
        <w:spacing w:line="480" w:lineRule="auto"/>
        <w:ind w:left="720"/>
        <w:contextualSpacing/>
      </w:pPr>
      <w:r w:rsidRPr="0004124E">
        <w:t>Retrieved October 1, 2015, from http://archive.elpasotimes.com/tablehome/ci_22523903/el-paso-ranked-safest-large-city-u-s</w:t>
      </w:r>
    </w:p>
    <w:p w14:paraId="679B3C6F" w14:textId="77777777" w:rsidR="000F4977" w:rsidRPr="0004124E" w:rsidRDefault="000F4977" w:rsidP="0004124E">
      <w:pPr>
        <w:spacing w:line="480" w:lineRule="auto"/>
      </w:pPr>
      <w:r w:rsidRPr="0004124E">
        <w:t>Burchfield, Keri B., and Eric Silver. “Collective Efficacy and Crime in Los Angeles</w:t>
      </w:r>
    </w:p>
    <w:p w14:paraId="496A5906" w14:textId="77777777" w:rsidR="000F4977" w:rsidRPr="0004124E" w:rsidRDefault="000F4977">
      <w:pPr>
        <w:spacing w:line="480" w:lineRule="auto"/>
        <w:ind w:firstLine="720"/>
      </w:pPr>
      <w:r w:rsidRPr="0004124E">
        <w:t>Neighborhoods: Implications for the Latino Paradox Collective Efficacy and Crime in</w:t>
      </w:r>
    </w:p>
    <w:p w14:paraId="0FE607D6" w14:textId="77777777" w:rsidR="000F4977" w:rsidRPr="0004124E" w:rsidRDefault="000F4977">
      <w:pPr>
        <w:spacing w:line="480" w:lineRule="auto"/>
        <w:ind w:left="720"/>
        <w:rPr>
          <w:i/>
          <w:iCs/>
        </w:rPr>
      </w:pPr>
      <w:r w:rsidRPr="0004124E">
        <w:t>Los Angeles Neighborhoods: Implications for the Latino Paradox”. </w:t>
      </w:r>
      <w:r w:rsidRPr="0004124E">
        <w:rPr>
          <w:i/>
          <w:iCs/>
        </w:rPr>
        <w:t>Sociological</w:t>
      </w:r>
    </w:p>
    <w:p w14:paraId="06C74941" w14:textId="77777777" w:rsidR="000F4977" w:rsidRPr="0004124E" w:rsidRDefault="000F4977">
      <w:pPr>
        <w:spacing w:line="480" w:lineRule="auto"/>
        <w:ind w:left="720"/>
      </w:pPr>
      <w:r w:rsidRPr="0004124E">
        <w:rPr>
          <w:i/>
          <w:iCs/>
        </w:rPr>
        <w:t>Inquiry</w:t>
      </w:r>
      <w:r w:rsidRPr="0004124E">
        <w:rPr>
          <w:iCs/>
        </w:rPr>
        <w:t>83</w:t>
      </w:r>
      <w:r w:rsidRPr="0004124E">
        <w:t>, </w:t>
      </w:r>
      <w:r w:rsidRPr="0004124E">
        <w:rPr>
          <w:iCs/>
        </w:rPr>
        <w:t>no.</w:t>
      </w:r>
      <w:r w:rsidRPr="0004124E">
        <w:t>1 (2013): 154-176. doi: 10.1111/j.1475-682X.2012.00429.x</w:t>
      </w:r>
    </w:p>
    <w:p w14:paraId="2651F20B" w14:textId="77777777" w:rsidR="000F4977" w:rsidRPr="0004124E" w:rsidRDefault="000F4977">
      <w:pPr>
        <w:spacing w:line="480" w:lineRule="auto"/>
        <w:rPr>
          <w:i/>
        </w:rPr>
      </w:pPr>
      <w:r w:rsidRPr="0004124E">
        <w:t xml:space="preserve">Bryk, Anthony S., and Stephen W. Raudenbush. </w:t>
      </w:r>
      <w:r w:rsidRPr="0004124E">
        <w:rPr>
          <w:i/>
        </w:rPr>
        <w:t>Hierarchical Linear Models: Applications and</w:t>
      </w:r>
    </w:p>
    <w:p w14:paraId="30BF6903" w14:textId="77777777" w:rsidR="000F4977" w:rsidRPr="0004124E" w:rsidRDefault="000F4977">
      <w:pPr>
        <w:spacing w:line="480" w:lineRule="auto"/>
        <w:ind w:firstLine="720"/>
        <w:rPr>
          <w:i/>
        </w:rPr>
      </w:pPr>
      <w:r w:rsidRPr="0004124E">
        <w:rPr>
          <w:i/>
        </w:rPr>
        <w:t>Data Analysis.</w:t>
      </w:r>
      <w:r w:rsidRPr="0004124E">
        <w:t xml:space="preserve"> London: Sage Publication, 1992</w:t>
      </w:r>
    </w:p>
    <w:p w14:paraId="3A2C69D6" w14:textId="77777777" w:rsidR="000F4977" w:rsidRPr="0004124E" w:rsidRDefault="000F4977">
      <w:pPr>
        <w:spacing w:line="480" w:lineRule="auto"/>
      </w:pPr>
      <w:r w:rsidRPr="0004124E">
        <w:t xml:space="preserve">Cannon, Angie. “DWB: Driving while black”. </w:t>
      </w:r>
      <w:r w:rsidRPr="0004124E">
        <w:rPr>
          <w:i/>
        </w:rPr>
        <w:t>U.S. News &amp; World Report</w:t>
      </w:r>
      <w:r w:rsidRPr="0004124E">
        <w:t xml:space="preserve"> 126, no.10 (1999):72.</w:t>
      </w:r>
    </w:p>
    <w:p w14:paraId="54E51719" w14:textId="77777777" w:rsidR="000F4977" w:rsidRPr="0004124E" w:rsidRDefault="000F4977">
      <w:pPr>
        <w:spacing w:line="480" w:lineRule="auto"/>
      </w:pPr>
      <w:r w:rsidRPr="0004124E">
        <w:t xml:space="preserve">Chavez, Leo. R. </w:t>
      </w:r>
      <w:r w:rsidRPr="0004124E">
        <w:rPr>
          <w:i/>
          <w:iCs/>
        </w:rPr>
        <w:t>The Latino Threat: Constructing Immigrants, Citizens, and the Nation</w:t>
      </w:r>
      <w:r w:rsidRPr="0004124E">
        <w:t>.</w:t>
      </w:r>
    </w:p>
    <w:p w14:paraId="73B40A8C" w14:textId="76C65CCE" w:rsidR="000F4977" w:rsidRPr="0004124E" w:rsidRDefault="000F4977">
      <w:pPr>
        <w:spacing w:line="480" w:lineRule="auto"/>
        <w:ind w:firstLine="720"/>
      </w:pPr>
      <w:r w:rsidRPr="0004124E">
        <w:lastRenderedPageBreak/>
        <w:t>Stanford, CA: Stanford University Press</w:t>
      </w:r>
      <w:r w:rsidR="00874E20" w:rsidRPr="0004124E">
        <w:t xml:space="preserve"> (</w:t>
      </w:r>
      <w:r w:rsidRPr="0004124E">
        <w:t>2008</w:t>
      </w:r>
      <w:r w:rsidR="00874E20" w:rsidRPr="0004124E">
        <w:t>).</w:t>
      </w:r>
    </w:p>
    <w:p w14:paraId="5D058F59" w14:textId="77777777" w:rsidR="000F4977" w:rsidRPr="0004124E" w:rsidRDefault="000F4977">
      <w:pPr>
        <w:spacing w:line="480" w:lineRule="auto"/>
        <w:rPr>
          <w:iCs/>
        </w:rPr>
      </w:pPr>
      <w:r w:rsidRPr="0004124E">
        <w:t>Coleman, Mathew “Immigration geopolitics beyond the Mexico–US border”. </w:t>
      </w:r>
      <w:r w:rsidRPr="0004124E">
        <w:rPr>
          <w:i/>
          <w:iCs/>
        </w:rPr>
        <w:t>Antipode</w:t>
      </w:r>
    </w:p>
    <w:p w14:paraId="39593827" w14:textId="77777777" w:rsidR="000F4977" w:rsidRPr="0004124E" w:rsidRDefault="000F4977">
      <w:pPr>
        <w:spacing w:line="480" w:lineRule="auto"/>
        <w:ind w:firstLine="720"/>
      </w:pPr>
      <w:r w:rsidRPr="0004124E">
        <w:rPr>
          <w:iCs/>
        </w:rPr>
        <w:t>39</w:t>
      </w:r>
      <w:r w:rsidRPr="0004124E">
        <w:t>, </w:t>
      </w:r>
      <w:r w:rsidRPr="0004124E">
        <w:rPr>
          <w:iCs/>
        </w:rPr>
        <w:t>no</w:t>
      </w:r>
      <w:r w:rsidRPr="0004124E">
        <w:rPr>
          <w:i/>
          <w:iCs/>
        </w:rPr>
        <w:t>.</w:t>
      </w:r>
      <w:r w:rsidRPr="0004124E">
        <w:t>1 (2007): 54-76.</w:t>
      </w:r>
    </w:p>
    <w:p w14:paraId="2ECBFC72" w14:textId="77777777" w:rsidR="000F4977" w:rsidRPr="0004124E" w:rsidRDefault="000F4977">
      <w:pPr>
        <w:spacing w:line="480" w:lineRule="auto"/>
      </w:pPr>
      <w:r w:rsidRPr="0004124E">
        <w:t>Community Oriented Policing Services: U.S. Department of Justice “President's Task Force”.</w:t>
      </w:r>
    </w:p>
    <w:p w14:paraId="62A077CE" w14:textId="77777777" w:rsidR="000F4977" w:rsidRPr="0004124E" w:rsidRDefault="000F4977">
      <w:pPr>
        <w:spacing w:line="480" w:lineRule="auto"/>
        <w:ind w:firstLine="720"/>
      </w:pPr>
      <w:r w:rsidRPr="0004124E">
        <w:t xml:space="preserve">https://cops.usdoj.gov/PolicingTaskForce </w:t>
      </w:r>
    </w:p>
    <w:p w14:paraId="4121043C" w14:textId="77777777" w:rsidR="000F4977" w:rsidRPr="0004124E" w:rsidRDefault="000F4977">
      <w:pPr>
        <w:spacing w:line="480" w:lineRule="auto"/>
      </w:pPr>
      <w:r w:rsidRPr="0004124E">
        <w:t>Curry, Theodore. R., and Guadalupe Corral-Camacho. “Sentencing Young Minority Males for</w:t>
      </w:r>
    </w:p>
    <w:p w14:paraId="2AAC48F1" w14:textId="77777777" w:rsidR="000F4977" w:rsidRPr="0004124E" w:rsidRDefault="000F4977">
      <w:pPr>
        <w:spacing w:line="480" w:lineRule="auto"/>
        <w:ind w:firstLine="720"/>
      </w:pPr>
      <w:r w:rsidRPr="0004124E">
        <w:t>Drug Offenses Testing for Conditional Effects between Race/Ethnicity, Gender and Age</w:t>
      </w:r>
    </w:p>
    <w:p w14:paraId="2E77028B" w14:textId="77777777" w:rsidR="000F4977" w:rsidRPr="0004124E" w:rsidRDefault="000F4977">
      <w:pPr>
        <w:spacing w:line="480" w:lineRule="auto"/>
        <w:ind w:firstLine="720"/>
      </w:pPr>
      <w:r w:rsidRPr="0004124E">
        <w:t>During the US War on Drugs.” </w:t>
      </w:r>
      <w:r w:rsidRPr="0004124E">
        <w:rPr>
          <w:i/>
          <w:iCs/>
        </w:rPr>
        <w:t xml:space="preserve">Punishment &amp; Society </w:t>
      </w:r>
      <w:r w:rsidRPr="0004124E">
        <w:rPr>
          <w:iCs/>
        </w:rPr>
        <w:t>10</w:t>
      </w:r>
      <w:r w:rsidRPr="0004124E">
        <w:t>, no. 3 (2008): 253-276.</w:t>
      </w:r>
    </w:p>
    <w:p w14:paraId="26A962CB" w14:textId="77777777" w:rsidR="000F4977" w:rsidRPr="0004124E" w:rsidRDefault="000F4977">
      <w:pPr>
        <w:spacing w:line="480" w:lineRule="auto"/>
        <w:ind w:firstLine="720"/>
      </w:pPr>
      <w:r w:rsidRPr="0004124E">
        <w:t>doi: 10.1177/1462474508090231</w:t>
      </w:r>
    </w:p>
    <w:p w14:paraId="4B3FC67C" w14:textId="77777777" w:rsidR="000F4977" w:rsidRPr="0004124E" w:rsidRDefault="000F4977">
      <w:pPr>
        <w:spacing w:line="480" w:lineRule="auto"/>
      </w:pPr>
      <w:r w:rsidRPr="0004124E">
        <w:t>Davis, Robert. C., Edna  Erez, and Nancy Avitabile. “Access to Justice for Immigrants Who Are</w:t>
      </w:r>
    </w:p>
    <w:p w14:paraId="68AE5A7C" w14:textId="77777777" w:rsidR="000F4977" w:rsidRPr="0004124E" w:rsidRDefault="000F4977">
      <w:pPr>
        <w:spacing w:line="480" w:lineRule="auto"/>
        <w:ind w:firstLine="720"/>
        <w:rPr>
          <w:i/>
          <w:iCs/>
        </w:rPr>
      </w:pPr>
      <w:r w:rsidRPr="0004124E">
        <w:t>Victimized: The Perspectives of Police and Prosecutors.” </w:t>
      </w:r>
      <w:r w:rsidRPr="0004124E">
        <w:rPr>
          <w:i/>
          <w:iCs/>
        </w:rPr>
        <w:t>Criminal Justice Policy</w:t>
      </w:r>
    </w:p>
    <w:p w14:paraId="03D24647" w14:textId="77777777" w:rsidR="000F4977" w:rsidRPr="0004124E" w:rsidRDefault="000F4977">
      <w:pPr>
        <w:spacing w:line="480" w:lineRule="auto"/>
        <w:ind w:left="720"/>
      </w:pPr>
      <w:r w:rsidRPr="0004124E">
        <w:rPr>
          <w:i/>
          <w:iCs/>
        </w:rPr>
        <w:t>Review</w:t>
      </w:r>
      <w:r w:rsidRPr="0004124E">
        <w:rPr>
          <w:iCs/>
        </w:rPr>
        <w:t xml:space="preserve"> 12</w:t>
      </w:r>
      <w:r w:rsidRPr="0004124E">
        <w:t>, no. 3 (2001): 183-196. doi: 10.1177/0887403401012003001</w:t>
      </w:r>
    </w:p>
    <w:p w14:paraId="60D36CA7" w14:textId="77777777" w:rsidR="009D3EF7" w:rsidRPr="0004124E" w:rsidRDefault="009D3EF7">
      <w:pPr>
        <w:spacing w:line="480" w:lineRule="auto"/>
        <w:rPr>
          <w:shd w:val="clear" w:color="auto" w:fill="FFFFFF"/>
        </w:rPr>
      </w:pPr>
      <w:r w:rsidRPr="0004124E">
        <w:rPr>
          <w:shd w:val="clear" w:color="auto" w:fill="FFFFFF"/>
        </w:rPr>
        <w:t>Davis, R. C., and Miller, J. “Immigration and Integration: Perceptions of Community Policing</w:t>
      </w:r>
    </w:p>
    <w:p w14:paraId="021EAC6A" w14:textId="640C2255" w:rsidR="009D3EF7" w:rsidRPr="0004124E" w:rsidRDefault="009D3EF7">
      <w:pPr>
        <w:spacing w:line="480" w:lineRule="auto"/>
        <w:ind w:left="720"/>
        <w:rPr>
          <w:shd w:val="clear" w:color="auto" w:fill="FFFFFF"/>
        </w:rPr>
      </w:pPr>
      <w:r w:rsidRPr="0004124E">
        <w:rPr>
          <w:shd w:val="clear" w:color="auto" w:fill="FFFFFF"/>
        </w:rPr>
        <w:t xml:space="preserve">among Members of Six Ethnic Communities in Central Queens, New York City.” </w:t>
      </w:r>
      <w:r w:rsidRPr="0004124E">
        <w:rPr>
          <w:i/>
          <w:iCs/>
          <w:shd w:val="clear" w:color="auto" w:fill="FFFFFF"/>
        </w:rPr>
        <w:t>International Review of Victimology,</w:t>
      </w:r>
      <w:r w:rsidRPr="0004124E">
        <w:rPr>
          <w:rStyle w:val="apple-converted-space"/>
          <w:i/>
          <w:iCs/>
          <w:shd w:val="clear" w:color="auto" w:fill="FFFFFF"/>
        </w:rPr>
        <w:t> </w:t>
      </w:r>
      <w:r w:rsidRPr="0004124E">
        <w:rPr>
          <w:i/>
          <w:iCs/>
          <w:shd w:val="clear" w:color="auto" w:fill="FFFFFF"/>
        </w:rPr>
        <w:t xml:space="preserve">9, </w:t>
      </w:r>
      <w:r w:rsidRPr="0004124E">
        <w:rPr>
          <w:shd w:val="clear" w:color="auto" w:fill="FFFFFF"/>
        </w:rPr>
        <w:t xml:space="preserve">2, (2002):93-111. </w:t>
      </w:r>
    </w:p>
    <w:p w14:paraId="34DED59B" w14:textId="5F5F9B40" w:rsidR="000F4977" w:rsidRPr="0004124E" w:rsidRDefault="000F4977">
      <w:pPr>
        <w:spacing w:line="480" w:lineRule="auto"/>
        <w:rPr>
          <w:i/>
          <w:iCs/>
        </w:rPr>
      </w:pPr>
      <w:r w:rsidRPr="00091A12">
        <w:t xml:space="preserve">De Genova, Nicholas, and Nathalie M. Peutz,. </w:t>
      </w:r>
      <w:r w:rsidRPr="0004124E">
        <w:rPr>
          <w:i/>
          <w:iCs/>
        </w:rPr>
        <w:t>The Deportation Regime: Sovereignty, Space, and</w:t>
      </w:r>
    </w:p>
    <w:p w14:paraId="63B55D8B" w14:textId="2B9DA4B2" w:rsidR="000F4977" w:rsidRPr="0004124E" w:rsidRDefault="000F4977">
      <w:pPr>
        <w:spacing w:line="480" w:lineRule="auto"/>
        <w:ind w:firstLine="720"/>
      </w:pPr>
      <w:r w:rsidRPr="0004124E">
        <w:rPr>
          <w:i/>
          <w:iCs/>
        </w:rPr>
        <w:t>The Freedom of Movement</w:t>
      </w:r>
      <w:r w:rsidRPr="0004124E">
        <w:t xml:space="preserve">. Durham, NC: Duke University Press,2010. </w:t>
      </w:r>
    </w:p>
    <w:p w14:paraId="04FC7D55" w14:textId="77777777" w:rsidR="005703B0" w:rsidRPr="0004124E" w:rsidRDefault="005703B0">
      <w:pPr>
        <w:spacing w:line="480" w:lineRule="auto"/>
        <w:rPr>
          <w:shd w:val="clear" w:color="auto" w:fill="FFFFFF"/>
        </w:rPr>
      </w:pPr>
      <w:r w:rsidRPr="0004124E">
        <w:rPr>
          <w:shd w:val="clear" w:color="auto" w:fill="FFFFFF"/>
        </w:rPr>
        <w:t>Desmond, M., &amp; Valdez, N. “Unpolicing the Urban Poor: Consequences of Third-Party Policing</w:t>
      </w:r>
    </w:p>
    <w:p w14:paraId="4BE64068" w14:textId="69F9E294" w:rsidR="005703B0" w:rsidRPr="0004124E" w:rsidRDefault="005703B0">
      <w:pPr>
        <w:spacing w:line="480" w:lineRule="auto"/>
        <w:ind w:firstLine="720"/>
        <w:rPr>
          <w:shd w:val="clear" w:color="auto" w:fill="FFFFFF"/>
        </w:rPr>
      </w:pPr>
      <w:r w:rsidRPr="0004124E">
        <w:rPr>
          <w:shd w:val="clear" w:color="auto" w:fill="FFFFFF"/>
        </w:rPr>
        <w:t>for Inner-City Women.</w:t>
      </w:r>
      <w:r w:rsidRPr="0004124E">
        <w:rPr>
          <w:rStyle w:val="apple-converted-space"/>
          <w:i/>
          <w:iCs/>
          <w:shd w:val="clear" w:color="auto" w:fill="FFFFFF"/>
        </w:rPr>
        <w:t> </w:t>
      </w:r>
      <w:r w:rsidRPr="0004124E">
        <w:rPr>
          <w:i/>
          <w:iCs/>
          <w:shd w:val="clear" w:color="auto" w:fill="FFFFFF"/>
        </w:rPr>
        <w:t>American Sociological Review,</w:t>
      </w:r>
      <w:r w:rsidRPr="0004124E">
        <w:rPr>
          <w:rStyle w:val="apple-converted-space"/>
          <w:i/>
          <w:iCs/>
          <w:shd w:val="clear" w:color="auto" w:fill="FFFFFF"/>
        </w:rPr>
        <w:t> </w:t>
      </w:r>
      <w:r w:rsidRPr="0004124E">
        <w:rPr>
          <w:i/>
          <w:iCs/>
          <w:shd w:val="clear" w:color="auto" w:fill="FFFFFF"/>
        </w:rPr>
        <w:t xml:space="preserve">78, </w:t>
      </w:r>
      <w:r w:rsidRPr="0004124E">
        <w:rPr>
          <w:shd w:val="clear" w:color="auto" w:fill="FFFFFF"/>
        </w:rPr>
        <w:t xml:space="preserve">1,(2013): 117-141. </w:t>
      </w:r>
    </w:p>
    <w:p w14:paraId="3FD28D37" w14:textId="77777777" w:rsidR="000F4977" w:rsidRPr="0004124E" w:rsidRDefault="000F4977">
      <w:pPr>
        <w:spacing w:line="480" w:lineRule="auto"/>
      </w:pPr>
      <w:r w:rsidRPr="0004124E">
        <w:t>Eagly, Ingrid V. “Criminal Justice for Noncitizens: An Analysis of Variation in Local</w:t>
      </w:r>
    </w:p>
    <w:p w14:paraId="0B804A28" w14:textId="77777777" w:rsidR="000F4977" w:rsidRPr="0004124E" w:rsidRDefault="000F4977">
      <w:pPr>
        <w:spacing w:line="480" w:lineRule="auto"/>
        <w:ind w:firstLine="720"/>
      </w:pPr>
      <w:r w:rsidRPr="0004124E">
        <w:t xml:space="preserve">Enforcement.” </w:t>
      </w:r>
      <w:r w:rsidRPr="0004124E">
        <w:rPr>
          <w:i/>
          <w:iCs/>
        </w:rPr>
        <w:t>New York University Law Review</w:t>
      </w:r>
      <w:r w:rsidRPr="0004124E">
        <w:rPr>
          <w:iCs/>
        </w:rPr>
        <w:t>88</w:t>
      </w:r>
      <w:r w:rsidRPr="0004124E">
        <w:t>, no. 4 (2013):1126-1223.</w:t>
      </w:r>
    </w:p>
    <w:p w14:paraId="53A98578" w14:textId="6DD1A04C" w:rsidR="000F4977" w:rsidRPr="0004124E" w:rsidRDefault="000F4977">
      <w:pPr>
        <w:spacing w:line="480" w:lineRule="auto"/>
      </w:pPr>
      <w:r w:rsidRPr="00866B7B">
        <w:rPr>
          <w:lang w:val="es-MX"/>
        </w:rPr>
        <w:t>García Hernández, C</w:t>
      </w:r>
      <w:r w:rsidR="003527E7" w:rsidRPr="007705B1">
        <w:rPr>
          <w:lang w:val="es-MX"/>
        </w:rPr>
        <w:t>.</w:t>
      </w:r>
      <w:r w:rsidRPr="007705B1">
        <w:rPr>
          <w:lang w:val="es-MX"/>
        </w:rPr>
        <w:t>C</w:t>
      </w:r>
      <w:r w:rsidR="003527E7" w:rsidRPr="007705B1">
        <w:rPr>
          <w:lang w:val="es-MX"/>
        </w:rPr>
        <w:t xml:space="preserve">. </w:t>
      </w:r>
      <w:r w:rsidRPr="007705B1">
        <w:rPr>
          <w:lang w:val="es-MX"/>
        </w:rPr>
        <w:t xml:space="preserve">“PEP Vs. </w:t>
      </w:r>
      <w:r w:rsidRPr="0004124E">
        <w:t xml:space="preserve">Secure Communities.”crImmigration: The </w:t>
      </w:r>
    </w:p>
    <w:p w14:paraId="29723B7D" w14:textId="085A2608" w:rsidR="000F4977" w:rsidRPr="0004124E" w:rsidRDefault="000F4977">
      <w:pPr>
        <w:spacing w:line="480" w:lineRule="auto"/>
        <w:ind w:left="720"/>
      </w:pPr>
      <w:r w:rsidRPr="0004124E">
        <w:lastRenderedPageBreak/>
        <w:t>Intersectionality of Criminal Law and Immigration Law.</w:t>
      </w:r>
      <w:r w:rsidRPr="0004124E">
        <w:rPr>
          <w:i/>
        </w:rPr>
        <w:t xml:space="preserve"> </w:t>
      </w:r>
      <w:r w:rsidRPr="0004124E">
        <w:t xml:space="preserve">Accessed December 28, 2016. </w:t>
      </w:r>
      <w:hyperlink r:id="rId10" w:history="1">
        <w:r w:rsidRPr="0004124E">
          <w:rPr>
            <w:rStyle w:val="Hyperlink"/>
          </w:rPr>
          <w:t>http://crimmigration.com/2015/07/07/pep-vs-secure-communities/</w:t>
        </w:r>
      </w:hyperlink>
      <w:r w:rsidRPr="0004124E">
        <w:t>.</w:t>
      </w:r>
    </w:p>
    <w:p w14:paraId="06E4B4C6" w14:textId="77777777" w:rsidR="003527E7" w:rsidRPr="0004124E" w:rsidRDefault="003527E7">
      <w:pPr>
        <w:spacing w:line="480" w:lineRule="auto"/>
        <w:rPr>
          <w:i/>
          <w:iCs/>
          <w:shd w:val="clear" w:color="auto" w:fill="FFFFFF"/>
        </w:rPr>
      </w:pPr>
      <w:r w:rsidRPr="0004124E">
        <w:rPr>
          <w:shd w:val="clear" w:color="auto" w:fill="FFFFFF"/>
        </w:rPr>
        <w:t>Goffman, A.  "On the Run: Wanted Men in a Philadelphia Ghetto."</w:t>
      </w:r>
      <w:r w:rsidRPr="0004124E">
        <w:rPr>
          <w:rStyle w:val="apple-converted-space"/>
          <w:shd w:val="clear" w:color="auto" w:fill="FFFFFF"/>
        </w:rPr>
        <w:t> </w:t>
      </w:r>
      <w:r w:rsidRPr="0004124E">
        <w:rPr>
          <w:i/>
          <w:iCs/>
          <w:shd w:val="clear" w:color="auto" w:fill="FFFFFF"/>
        </w:rPr>
        <w:t>American Sociological</w:t>
      </w:r>
    </w:p>
    <w:p w14:paraId="0571BF07" w14:textId="4E900FFD" w:rsidR="003527E7" w:rsidRPr="0004124E" w:rsidRDefault="003527E7">
      <w:pPr>
        <w:spacing w:line="480" w:lineRule="auto"/>
        <w:ind w:firstLine="720"/>
        <w:rPr>
          <w:i/>
        </w:rPr>
      </w:pPr>
      <w:r w:rsidRPr="0004124E">
        <w:rPr>
          <w:i/>
          <w:iCs/>
          <w:shd w:val="clear" w:color="auto" w:fill="FFFFFF"/>
        </w:rPr>
        <w:t>Review</w:t>
      </w:r>
      <w:r w:rsidRPr="0004124E">
        <w:rPr>
          <w:rStyle w:val="apple-converted-space"/>
          <w:shd w:val="clear" w:color="auto" w:fill="FFFFFF"/>
        </w:rPr>
        <w:t> </w:t>
      </w:r>
      <w:r w:rsidRPr="0004124E">
        <w:rPr>
          <w:shd w:val="clear" w:color="auto" w:fill="FFFFFF"/>
        </w:rPr>
        <w:t>74, 3, (2009): 339-357.</w:t>
      </w:r>
    </w:p>
    <w:p w14:paraId="678791B8" w14:textId="77777777" w:rsidR="003527E7" w:rsidRPr="0004124E" w:rsidRDefault="000F4977">
      <w:pPr>
        <w:spacing w:line="480" w:lineRule="auto"/>
        <w:rPr>
          <w:i/>
          <w:iCs/>
        </w:rPr>
      </w:pPr>
      <w:r w:rsidRPr="0004124E">
        <w:t>Golash-Boza, T</w:t>
      </w:r>
      <w:r w:rsidR="003527E7" w:rsidRPr="0004124E">
        <w:t xml:space="preserve">. </w:t>
      </w:r>
      <w:r w:rsidR="003527E7" w:rsidRPr="0004124E">
        <w:rPr>
          <w:i/>
          <w:iCs/>
        </w:rPr>
        <w:t>Due Process Denied: Detentions and Deportations in the United</w:t>
      </w:r>
    </w:p>
    <w:p w14:paraId="56EE1E7A" w14:textId="77777777" w:rsidR="003527E7" w:rsidRPr="0004124E" w:rsidRDefault="003527E7">
      <w:pPr>
        <w:spacing w:line="480" w:lineRule="auto"/>
        <w:ind w:firstLine="720"/>
      </w:pPr>
      <w:r w:rsidRPr="0004124E">
        <w:rPr>
          <w:i/>
          <w:iCs/>
        </w:rPr>
        <w:t>States</w:t>
      </w:r>
      <w:r w:rsidRPr="0004124E">
        <w:t>. New York:Routledge.2012.</w:t>
      </w:r>
    </w:p>
    <w:p w14:paraId="3136F757" w14:textId="7CDF315D" w:rsidR="003527E7" w:rsidRPr="0004124E" w:rsidRDefault="003527E7">
      <w:pPr>
        <w:spacing w:line="480" w:lineRule="auto"/>
      </w:pPr>
      <w:r w:rsidRPr="0004124E">
        <w:t xml:space="preserve">_____. </w:t>
      </w:r>
      <w:r w:rsidRPr="0004124E">
        <w:rPr>
          <w:i/>
        </w:rPr>
        <w:t>Deported: Immigration Policing, Disposable Labor and Global Capitalism</w:t>
      </w:r>
      <w:r w:rsidRPr="0004124E">
        <w:t xml:space="preserve">. </w:t>
      </w:r>
    </w:p>
    <w:p w14:paraId="228968C6" w14:textId="1C20F99B" w:rsidR="003527E7" w:rsidRPr="0004124E" w:rsidRDefault="003527E7">
      <w:pPr>
        <w:spacing w:line="480" w:lineRule="auto"/>
      </w:pPr>
      <w:r w:rsidRPr="0004124E">
        <w:tab/>
        <w:t xml:space="preserve">New York University Press, 2015. </w:t>
      </w:r>
    </w:p>
    <w:p w14:paraId="53AFBCBF" w14:textId="77777777" w:rsidR="000F4977" w:rsidRPr="0004124E" w:rsidRDefault="000F4977">
      <w:pPr>
        <w:spacing w:line="480" w:lineRule="auto"/>
      </w:pPr>
      <w:r w:rsidRPr="0004124E">
        <w:t>Guiraudon, Virginie, and Gallya Lahav. “A Reappraisal of the State Sovereignty Debate the</w:t>
      </w:r>
    </w:p>
    <w:p w14:paraId="17E8BF02" w14:textId="77777777" w:rsidR="000F4977" w:rsidRPr="0004124E" w:rsidRDefault="000F4977">
      <w:pPr>
        <w:spacing w:line="480" w:lineRule="auto"/>
        <w:ind w:firstLine="720"/>
      </w:pPr>
      <w:r w:rsidRPr="0004124E">
        <w:t>Case of  Migration Control.” </w:t>
      </w:r>
      <w:r w:rsidRPr="0004124E">
        <w:rPr>
          <w:i/>
          <w:iCs/>
        </w:rPr>
        <w:t>Comparative Political Studies</w:t>
      </w:r>
      <w:r w:rsidRPr="0004124E">
        <w:rPr>
          <w:iCs/>
        </w:rPr>
        <w:t xml:space="preserve"> 33</w:t>
      </w:r>
      <w:r w:rsidRPr="0004124E">
        <w:t>, </w:t>
      </w:r>
      <w:r w:rsidRPr="0004124E">
        <w:rPr>
          <w:iCs/>
        </w:rPr>
        <w:t>no.</w:t>
      </w:r>
      <w:r w:rsidRPr="0004124E">
        <w:t>2 (2000), 163-195.</w:t>
      </w:r>
    </w:p>
    <w:p w14:paraId="56F47E7A" w14:textId="77777777" w:rsidR="000F4977" w:rsidRPr="0004124E" w:rsidRDefault="000F4977">
      <w:pPr>
        <w:spacing w:line="480" w:lineRule="auto"/>
        <w:ind w:firstLine="720"/>
      </w:pPr>
      <w:r w:rsidRPr="0004124E">
        <w:t>doi: 10.1177/0010414000033002001</w:t>
      </w:r>
    </w:p>
    <w:p w14:paraId="7CA4E47C" w14:textId="77777777" w:rsidR="000F4977" w:rsidRPr="0004124E" w:rsidRDefault="000F4977">
      <w:pPr>
        <w:spacing w:line="480" w:lineRule="auto"/>
      </w:pPr>
      <w:r w:rsidRPr="0004124E">
        <w:t xml:space="preserve">Hagan, John, and Alberto Palloni.“Sociological Criminology and the Mythology of Hispanic </w:t>
      </w:r>
    </w:p>
    <w:p w14:paraId="5CDE64E7" w14:textId="77777777" w:rsidR="000F4977" w:rsidRPr="0004124E" w:rsidRDefault="000F4977">
      <w:pPr>
        <w:spacing w:line="480" w:lineRule="auto"/>
        <w:ind w:firstLine="720"/>
      </w:pPr>
      <w:r w:rsidRPr="0004124E">
        <w:t>Immigration and Crime.” </w:t>
      </w:r>
      <w:r w:rsidRPr="0004124E">
        <w:rPr>
          <w:i/>
          <w:iCs/>
        </w:rPr>
        <w:t>Social Problems</w:t>
      </w:r>
      <w:r w:rsidRPr="0004124E">
        <w:rPr>
          <w:iCs/>
        </w:rPr>
        <w:t xml:space="preserve"> 46</w:t>
      </w:r>
      <w:r w:rsidRPr="0004124E">
        <w:t>, </w:t>
      </w:r>
      <w:r w:rsidRPr="0004124E">
        <w:rPr>
          <w:iCs/>
        </w:rPr>
        <w:t xml:space="preserve">no. </w:t>
      </w:r>
      <w:r w:rsidRPr="0004124E">
        <w:t>4 (1999):617-632.</w:t>
      </w:r>
    </w:p>
    <w:p w14:paraId="5AD1D57F" w14:textId="77777777" w:rsidR="000F4977" w:rsidRPr="0004124E" w:rsidRDefault="000F4977">
      <w:pPr>
        <w:spacing w:line="480" w:lineRule="auto"/>
        <w:ind w:firstLine="720"/>
      </w:pPr>
      <w:r w:rsidRPr="0004124E">
        <w:t>doi:10.2307/3097078</w:t>
      </w:r>
    </w:p>
    <w:p w14:paraId="3EF85256" w14:textId="77777777" w:rsidR="000F4977" w:rsidRPr="0004124E" w:rsidRDefault="000F4977">
      <w:pPr>
        <w:spacing w:line="480" w:lineRule="auto"/>
      </w:pPr>
      <w:r w:rsidRPr="0004124E">
        <w:t>Herbert, Steve.“Police Subculture Reconsidered.” </w:t>
      </w:r>
      <w:r w:rsidRPr="0004124E">
        <w:rPr>
          <w:i/>
          <w:iCs/>
        </w:rPr>
        <w:t>Criminology</w:t>
      </w:r>
      <w:r w:rsidRPr="0004124E">
        <w:t>36, no.2 (1998):343-370.</w:t>
      </w:r>
    </w:p>
    <w:p w14:paraId="391C80C0" w14:textId="38A66A53" w:rsidR="000F4977" w:rsidRPr="0004124E" w:rsidRDefault="000F4977">
      <w:pPr>
        <w:spacing w:line="480" w:lineRule="auto"/>
      </w:pPr>
      <w:r w:rsidRPr="0004124E">
        <w:t>Heyman, Josiah</w:t>
      </w:r>
      <w:r w:rsidR="001E148E" w:rsidRPr="0004124E">
        <w:t xml:space="preserve"> M.</w:t>
      </w:r>
      <w:r w:rsidRPr="0004124E">
        <w:t>. “Human Rights and Social Justice Briefing 1: Arizona’s Immigration Law</w:t>
      </w:r>
    </w:p>
    <w:p w14:paraId="1584140E" w14:textId="17DF804F" w:rsidR="000F4977" w:rsidRPr="0004124E" w:rsidRDefault="000F4977">
      <w:pPr>
        <w:spacing w:line="480" w:lineRule="auto"/>
        <w:ind w:firstLine="720"/>
      </w:pPr>
      <w:r w:rsidRPr="0004124E">
        <w:t>S.B.1070.”</w:t>
      </w:r>
      <w:r w:rsidRPr="0004124E">
        <w:rPr>
          <w:i/>
        </w:rPr>
        <w:t xml:space="preserve"> Society of Applied Anthropology</w:t>
      </w:r>
      <w:r w:rsidRPr="0004124E">
        <w:t xml:space="preserve"> 21, no. 3 (2010).</w:t>
      </w:r>
    </w:p>
    <w:p w14:paraId="43290534" w14:textId="77777777" w:rsidR="001E148E" w:rsidRPr="0004124E" w:rsidRDefault="001E148E">
      <w:pPr>
        <w:spacing w:line="480" w:lineRule="auto"/>
      </w:pPr>
      <w:r w:rsidRPr="0004124E">
        <w:t xml:space="preserve">_____. “”Illegality” at the U.S.-Mexico Border: How it Produced and Resisted. In Cecilia </w:t>
      </w:r>
    </w:p>
    <w:p w14:paraId="7792204E" w14:textId="77777777" w:rsidR="001E148E" w:rsidRPr="0004124E" w:rsidRDefault="001E148E">
      <w:pPr>
        <w:spacing w:line="480" w:lineRule="auto"/>
        <w:rPr>
          <w:i/>
        </w:rPr>
      </w:pPr>
      <w:r w:rsidRPr="0004124E">
        <w:tab/>
        <w:t xml:space="preserve">Menjívar and Daniel Kanstroom (eds.) </w:t>
      </w:r>
      <w:r w:rsidRPr="0004124E">
        <w:rPr>
          <w:i/>
        </w:rPr>
        <w:t xml:space="preserve">Constructing Immigrant “Illegality”: Critiques, </w:t>
      </w:r>
    </w:p>
    <w:p w14:paraId="744A0B99" w14:textId="110ADE46" w:rsidR="001E148E" w:rsidRPr="0004124E" w:rsidRDefault="001E148E">
      <w:pPr>
        <w:spacing w:line="480" w:lineRule="auto"/>
        <w:rPr>
          <w:i/>
        </w:rPr>
      </w:pPr>
      <w:r w:rsidRPr="0004124E">
        <w:rPr>
          <w:i/>
        </w:rPr>
        <w:tab/>
        <w:t>Experiences, and Responses</w:t>
      </w:r>
      <w:r w:rsidRPr="0004124E">
        <w:t xml:space="preserve">. Cambridge University Presss (2014). </w:t>
      </w:r>
    </w:p>
    <w:p w14:paraId="07020973" w14:textId="77777777" w:rsidR="000F4977" w:rsidRPr="0004124E" w:rsidRDefault="000F4977">
      <w:pPr>
        <w:spacing w:line="480" w:lineRule="auto"/>
      </w:pPr>
      <w:r w:rsidRPr="0004124E">
        <w:t>Hox, Joop. J. </w:t>
      </w:r>
      <w:r w:rsidRPr="0004124E">
        <w:rPr>
          <w:i/>
          <w:iCs/>
        </w:rPr>
        <w:t>Multilevel Analysis: Techniques and Applications</w:t>
      </w:r>
      <w:r w:rsidRPr="0004124E">
        <w:t>. New York, NY: Routledge.2010</w:t>
      </w:r>
    </w:p>
    <w:p w14:paraId="74312244" w14:textId="77777777" w:rsidR="000F4977" w:rsidRPr="0004124E" w:rsidRDefault="000F4977">
      <w:pPr>
        <w:spacing w:line="480" w:lineRule="auto"/>
        <w:rPr>
          <w:i/>
          <w:iCs/>
        </w:rPr>
      </w:pPr>
      <w:r w:rsidRPr="0004124E">
        <w:t>Kennis, Andrew. “Latinos Continue to Be (Illegally) Told,‘Show Me Your Papers.’”. </w:t>
      </w:r>
      <w:r w:rsidRPr="0004124E">
        <w:rPr>
          <w:i/>
          <w:iCs/>
        </w:rPr>
        <w:t>Alternet.</w:t>
      </w:r>
    </w:p>
    <w:p w14:paraId="1BFC9253" w14:textId="77777777" w:rsidR="000F4977" w:rsidRPr="0004124E" w:rsidRDefault="000F4977">
      <w:pPr>
        <w:spacing w:line="480" w:lineRule="auto"/>
        <w:ind w:firstLine="720"/>
      </w:pPr>
      <w:r w:rsidRPr="0004124E">
        <w:rPr>
          <w:iCs/>
        </w:rPr>
        <w:t>Accessed September</w:t>
      </w:r>
      <w:r w:rsidRPr="0004124E">
        <w:t>, </w:t>
      </w:r>
      <w:r w:rsidRPr="0004124E">
        <w:rPr>
          <w:iCs/>
        </w:rPr>
        <w:t>27,2016</w:t>
      </w:r>
      <w:r w:rsidRPr="0004124E">
        <w:t>http://www.alternet.org/story/152400/latinos_continue_to_</w:t>
      </w:r>
    </w:p>
    <w:p w14:paraId="43864B26" w14:textId="77777777" w:rsidR="000F4977" w:rsidRPr="0004124E" w:rsidRDefault="000F4977">
      <w:pPr>
        <w:spacing w:line="480" w:lineRule="auto"/>
        <w:ind w:firstLine="720"/>
      </w:pPr>
      <w:r w:rsidRPr="0004124E">
        <w:lastRenderedPageBreak/>
        <w:t>be_(illegally)_told,_'show_me_your_papers!'</w:t>
      </w:r>
    </w:p>
    <w:p w14:paraId="11FDD835" w14:textId="77777777" w:rsidR="000F4977" w:rsidRPr="0004124E" w:rsidRDefault="000F4977">
      <w:pPr>
        <w:spacing w:line="480" w:lineRule="auto"/>
        <w:rPr>
          <w:i/>
          <w:iCs/>
        </w:rPr>
      </w:pPr>
      <w:r w:rsidRPr="0004124E">
        <w:t>Khashu, Anita, Robin Busch, Zainab Latif, and Francisco Levy. </w:t>
      </w:r>
      <w:r w:rsidRPr="0004124E">
        <w:rPr>
          <w:i/>
          <w:iCs/>
        </w:rPr>
        <w:t>Building Strong Police</w:t>
      </w:r>
    </w:p>
    <w:p w14:paraId="525C3634" w14:textId="77777777" w:rsidR="000F4977" w:rsidRPr="0004124E" w:rsidRDefault="000F4977">
      <w:pPr>
        <w:spacing w:line="480" w:lineRule="auto"/>
        <w:ind w:firstLine="720"/>
      </w:pPr>
      <w:r w:rsidRPr="0004124E">
        <w:rPr>
          <w:i/>
          <w:iCs/>
        </w:rPr>
        <w:t>Immigrant Community Relations: Lessons from a New York City project</w:t>
      </w:r>
      <w:r w:rsidRPr="0004124E">
        <w:t>. New York, NY:</w:t>
      </w:r>
    </w:p>
    <w:p w14:paraId="369857A3" w14:textId="77777777" w:rsidR="000F4977" w:rsidRPr="0004124E" w:rsidRDefault="000F4977">
      <w:pPr>
        <w:spacing w:line="480" w:lineRule="auto"/>
        <w:ind w:firstLine="720"/>
        <w:rPr>
          <w:i/>
          <w:iCs/>
        </w:rPr>
      </w:pPr>
      <w:r w:rsidRPr="0004124E">
        <w:t>Vera</w:t>
      </w:r>
      <w:r w:rsidRPr="0004124E">
        <w:rPr>
          <w:i/>
          <w:iCs/>
        </w:rPr>
        <w:t xml:space="preserve"> </w:t>
      </w:r>
      <w:r w:rsidRPr="0004124E">
        <w:t>Institute of Justice, 2005.</w:t>
      </w:r>
    </w:p>
    <w:p w14:paraId="0D66CD87" w14:textId="77777777" w:rsidR="000F4977" w:rsidRPr="0004124E" w:rsidRDefault="000F4977">
      <w:pPr>
        <w:spacing w:line="480" w:lineRule="auto"/>
      </w:pPr>
      <w:r w:rsidRPr="0004124E">
        <w:t xml:space="preserve">Kubrin, Charis E., and Hiromi Ishizawa. “Why Some Immigrant Neighborhoods Are Safer than </w:t>
      </w:r>
    </w:p>
    <w:p w14:paraId="3BE76832" w14:textId="77777777" w:rsidR="000F4977" w:rsidRPr="0004124E" w:rsidRDefault="000F4977">
      <w:pPr>
        <w:spacing w:line="480" w:lineRule="auto"/>
        <w:ind w:left="720"/>
      </w:pPr>
      <w:r w:rsidRPr="0004124E">
        <w:t>Others Divergent Findings from Los Angeles and Chicago”. </w:t>
      </w:r>
      <w:r w:rsidRPr="0004124E">
        <w:rPr>
          <w:i/>
          <w:iCs/>
        </w:rPr>
        <w:t>The ANNALS of the American Academy of Political and Social Science</w:t>
      </w:r>
      <w:r w:rsidRPr="0004124E">
        <w:rPr>
          <w:iCs/>
        </w:rPr>
        <w:t xml:space="preserve"> 641</w:t>
      </w:r>
      <w:r w:rsidRPr="0004124E">
        <w:t>, </w:t>
      </w:r>
      <w:r w:rsidRPr="0004124E">
        <w:rPr>
          <w:iCs/>
        </w:rPr>
        <w:t>no.</w:t>
      </w:r>
      <w:r w:rsidRPr="0004124E">
        <w:t>1 (2012): 148-173.</w:t>
      </w:r>
    </w:p>
    <w:p w14:paraId="6BA6BE50" w14:textId="77777777" w:rsidR="000F4977" w:rsidRPr="0004124E" w:rsidRDefault="000F4977">
      <w:pPr>
        <w:spacing w:line="480" w:lineRule="auto"/>
      </w:pPr>
      <w:r w:rsidRPr="0004124E">
        <w:t>Lewis, Paul G., and S. Karthick Ramakrishnan.“Police Practices in Immigrant-Destination Cities</w:t>
      </w:r>
    </w:p>
    <w:p w14:paraId="76DFFB05" w14:textId="77777777" w:rsidR="000F4977" w:rsidRPr="0004124E" w:rsidRDefault="000F4977">
      <w:pPr>
        <w:spacing w:line="480" w:lineRule="auto"/>
        <w:ind w:firstLine="720"/>
      </w:pPr>
      <w:r w:rsidRPr="0004124E">
        <w:t>Political Control or Bureaucratic Professionalism?.” </w:t>
      </w:r>
      <w:r w:rsidRPr="0004124E">
        <w:rPr>
          <w:i/>
          <w:iCs/>
        </w:rPr>
        <w:t>Urban Affairs Review</w:t>
      </w:r>
      <w:r w:rsidRPr="0004124E">
        <w:rPr>
          <w:iCs/>
        </w:rPr>
        <w:t xml:space="preserve"> 42</w:t>
      </w:r>
      <w:r w:rsidRPr="0004124E">
        <w:t>, </w:t>
      </w:r>
      <w:r w:rsidRPr="0004124E">
        <w:rPr>
          <w:iCs/>
        </w:rPr>
        <w:t>no.</w:t>
      </w:r>
      <w:r w:rsidRPr="0004124E">
        <w:t>6</w:t>
      </w:r>
    </w:p>
    <w:p w14:paraId="09ADE7AE" w14:textId="77777777" w:rsidR="000F4977" w:rsidRPr="0004124E" w:rsidRDefault="000F4977">
      <w:pPr>
        <w:spacing w:line="480" w:lineRule="auto"/>
        <w:ind w:firstLine="720"/>
      </w:pPr>
      <w:r w:rsidRPr="0004124E">
        <w:t>(2007): 874- 900. doi: 10.1177/1078087407300752</w:t>
      </w:r>
    </w:p>
    <w:p w14:paraId="6F9DB13C" w14:textId="77777777" w:rsidR="000F4977" w:rsidRPr="0004124E" w:rsidRDefault="000F4977">
      <w:pPr>
        <w:spacing w:line="480" w:lineRule="auto"/>
        <w:rPr>
          <w:i/>
          <w:color w:val="222222"/>
          <w:shd w:val="clear" w:color="auto" w:fill="FFFFFF"/>
        </w:rPr>
      </w:pPr>
      <w:r w:rsidRPr="0004124E">
        <w:rPr>
          <w:color w:val="222222"/>
          <w:shd w:val="clear" w:color="auto" w:fill="FFFFFF"/>
        </w:rPr>
        <w:t xml:space="preserve">Lipsky, Michael. "Street-level bureaucracy: The critical role of street-level bureaucrats." </w:t>
      </w:r>
      <w:r w:rsidRPr="0004124E">
        <w:rPr>
          <w:i/>
          <w:color w:val="222222"/>
          <w:shd w:val="clear" w:color="auto" w:fill="FFFFFF"/>
        </w:rPr>
        <w:t>Classics</w:t>
      </w:r>
    </w:p>
    <w:p w14:paraId="0FA53F63" w14:textId="77777777" w:rsidR="000F4977" w:rsidRPr="0004124E" w:rsidRDefault="000F4977">
      <w:pPr>
        <w:spacing w:line="480" w:lineRule="auto"/>
        <w:ind w:firstLine="720"/>
      </w:pPr>
      <w:r w:rsidRPr="0004124E">
        <w:rPr>
          <w:i/>
          <w:color w:val="222222"/>
          <w:shd w:val="clear" w:color="auto" w:fill="FFFFFF"/>
        </w:rPr>
        <w:t>of Public Administration</w:t>
      </w:r>
      <w:r w:rsidRPr="0004124E">
        <w:rPr>
          <w:color w:val="222222"/>
          <w:shd w:val="clear" w:color="auto" w:fill="FFFFFF"/>
        </w:rPr>
        <w:t xml:space="preserve"> (1980): 414-422. </w:t>
      </w:r>
    </w:p>
    <w:p w14:paraId="517D84B7" w14:textId="77777777" w:rsidR="000F4977" w:rsidRPr="0004124E" w:rsidRDefault="000F4977">
      <w:pPr>
        <w:spacing w:line="480" w:lineRule="auto"/>
      </w:pPr>
      <w:r w:rsidRPr="0004124E">
        <w:t>Longazel, Jamie G. “Moral Panic as Racial Degradation Ceremony: Racial Stratification and</w:t>
      </w:r>
    </w:p>
    <w:p w14:paraId="575952D2" w14:textId="77777777" w:rsidR="000F4977" w:rsidRPr="0004124E" w:rsidRDefault="000F4977">
      <w:pPr>
        <w:spacing w:line="480" w:lineRule="auto"/>
        <w:ind w:left="720"/>
      </w:pPr>
      <w:r w:rsidRPr="0004124E">
        <w:t>the Local-Level Backlash Against Latino/a Immigrants.” </w:t>
      </w:r>
      <w:r w:rsidRPr="0004124E">
        <w:rPr>
          <w:i/>
          <w:iCs/>
        </w:rPr>
        <w:t>Punishment &amp; Society</w:t>
      </w:r>
      <w:r w:rsidRPr="0004124E">
        <w:rPr>
          <w:iCs/>
        </w:rPr>
        <w:t>15</w:t>
      </w:r>
      <w:r w:rsidRPr="0004124E">
        <w:t>, </w:t>
      </w:r>
      <w:r w:rsidRPr="0004124E">
        <w:rPr>
          <w:iCs/>
        </w:rPr>
        <w:t>no.</w:t>
      </w:r>
      <w:r w:rsidRPr="0004124E">
        <w:t>1 (2013): 96-119. doi: 10.1177/1462474512466200</w:t>
      </w:r>
    </w:p>
    <w:p w14:paraId="18CB232D" w14:textId="77777777" w:rsidR="000F4977" w:rsidRPr="0004124E" w:rsidRDefault="000F4977">
      <w:pPr>
        <w:spacing w:line="480" w:lineRule="auto"/>
        <w:rPr>
          <w:rStyle w:val="SubtleEmphasis"/>
          <w:i w:val="0"/>
        </w:rPr>
      </w:pPr>
      <w:r w:rsidRPr="00091A12">
        <w:t>Martin, Monica J., Bill McCarthy, Rand D. Conger, Frederick X. Gibbons, Ronald L. Simons,</w:t>
      </w:r>
    </w:p>
    <w:p w14:paraId="44112381" w14:textId="77777777" w:rsidR="000F4977" w:rsidRPr="0004124E" w:rsidRDefault="000F4977">
      <w:pPr>
        <w:spacing w:line="480" w:lineRule="auto"/>
        <w:ind w:firstLine="720"/>
      </w:pPr>
      <w:r w:rsidRPr="0004124E">
        <w:rPr>
          <w:rStyle w:val="SubtleEmphasis"/>
        </w:rPr>
        <w:t>Carolyn E.</w:t>
      </w:r>
      <w:r w:rsidRPr="0004124E">
        <w:t xml:space="preserve"> Cutrona, and Gene H. Brody. “The Enduring Significance of Racism:</w:t>
      </w:r>
    </w:p>
    <w:p w14:paraId="608BE181" w14:textId="77777777" w:rsidR="000F4977" w:rsidRPr="0004124E" w:rsidRDefault="000F4977">
      <w:pPr>
        <w:spacing w:line="480" w:lineRule="auto"/>
        <w:ind w:left="720"/>
      </w:pPr>
      <w:r w:rsidRPr="0004124E">
        <w:t>Discrimination and Delinquency Among Black American Youth.” </w:t>
      </w:r>
      <w:r w:rsidRPr="0004124E">
        <w:rPr>
          <w:i/>
          <w:iCs/>
        </w:rPr>
        <w:t>Journal of Research on Adolescence</w:t>
      </w:r>
      <w:r w:rsidRPr="0004124E">
        <w:rPr>
          <w:iCs/>
        </w:rPr>
        <w:t xml:space="preserve"> 2</w:t>
      </w:r>
      <w:r w:rsidRPr="0004124E">
        <w:t>, </w:t>
      </w:r>
      <w:r w:rsidRPr="0004124E">
        <w:rPr>
          <w:iCs/>
        </w:rPr>
        <w:t>no.</w:t>
      </w:r>
      <w:r w:rsidRPr="0004124E">
        <w:t>3 (2011), 662-676. doi: 10.1111/j.1532-7795.2010.00699.x</w:t>
      </w:r>
    </w:p>
    <w:p w14:paraId="7157034D" w14:textId="77777777" w:rsidR="000F4977" w:rsidRPr="0004124E" w:rsidRDefault="000F4977">
      <w:pPr>
        <w:spacing w:line="480" w:lineRule="auto"/>
      </w:pPr>
      <w:r w:rsidRPr="0004124E">
        <w:t xml:space="preserve">Martínez, Ramiro. </w:t>
      </w:r>
      <w:r w:rsidRPr="0004124E">
        <w:rPr>
          <w:i/>
          <w:iCs/>
        </w:rPr>
        <w:t>Latino Homicide: Immigration, Violence, and Community</w:t>
      </w:r>
      <w:r w:rsidRPr="0004124E">
        <w:t xml:space="preserve">. New York, NY: </w:t>
      </w:r>
    </w:p>
    <w:p w14:paraId="3226A153" w14:textId="77777777" w:rsidR="000F4977" w:rsidRPr="0004124E" w:rsidRDefault="000F4977">
      <w:pPr>
        <w:spacing w:line="480" w:lineRule="auto"/>
        <w:ind w:firstLine="720"/>
      </w:pPr>
      <w:r w:rsidRPr="0004124E">
        <w:t xml:space="preserve">Routledge,2002. </w:t>
      </w:r>
    </w:p>
    <w:p w14:paraId="0F07CCD7" w14:textId="77777777" w:rsidR="000F4977" w:rsidRPr="0004124E" w:rsidRDefault="000F4977">
      <w:pPr>
        <w:spacing w:line="480" w:lineRule="auto"/>
      </w:pPr>
      <w:r w:rsidRPr="0004124E">
        <w:t>Martinez, Ramiro. “The Impact of Immigration Policy on Criminological</w:t>
      </w:r>
    </w:p>
    <w:p w14:paraId="394A05DC" w14:textId="77777777" w:rsidR="000F4977" w:rsidRPr="0004124E" w:rsidRDefault="000F4977">
      <w:pPr>
        <w:spacing w:line="480" w:lineRule="auto"/>
        <w:ind w:firstLine="720"/>
      </w:pPr>
      <w:r w:rsidRPr="0004124E">
        <w:t>Research.” </w:t>
      </w:r>
      <w:r w:rsidRPr="0004124E">
        <w:rPr>
          <w:i/>
          <w:iCs/>
        </w:rPr>
        <w:t xml:space="preserve">Criminology &amp; Public Policy </w:t>
      </w:r>
      <w:r w:rsidRPr="0004124E">
        <w:rPr>
          <w:iCs/>
        </w:rPr>
        <w:t>7</w:t>
      </w:r>
      <w:r w:rsidRPr="0004124E">
        <w:t>, </w:t>
      </w:r>
      <w:r w:rsidRPr="0004124E">
        <w:rPr>
          <w:iCs/>
        </w:rPr>
        <w:t>no.</w:t>
      </w:r>
      <w:r w:rsidRPr="0004124E">
        <w:t xml:space="preserve">1 (2008), 53-58. </w:t>
      </w:r>
    </w:p>
    <w:p w14:paraId="67CF93C6" w14:textId="77777777" w:rsidR="000F4977" w:rsidRPr="0004124E" w:rsidRDefault="000F4977">
      <w:pPr>
        <w:spacing w:line="480" w:lineRule="auto"/>
        <w:ind w:firstLine="720"/>
      </w:pPr>
      <w:r w:rsidRPr="0004124E">
        <w:lastRenderedPageBreak/>
        <w:t>doi: 10.1111/j.1745-9133.2008.00490.x</w:t>
      </w:r>
    </w:p>
    <w:p w14:paraId="2164FE61" w14:textId="77777777" w:rsidR="000F4977" w:rsidRPr="0004124E" w:rsidRDefault="000F4977">
      <w:pPr>
        <w:spacing w:line="480" w:lineRule="auto"/>
        <w:rPr>
          <w:i/>
        </w:rPr>
      </w:pPr>
      <w:r w:rsidRPr="0004124E">
        <w:t xml:space="preserve">Martinez, Ramiro, and Mathew T. Lee. “ On Immigration and Crime.” </w:t>
      </w:r>
      <w:r w:rsidRPr="0004124E">
        <w:rPr>
          <w:i/>
        </w:rPr>
        <w:t>National Institute</w:t>
      </w:r>
    </w:p>
    <w:p w14:paraId="3A7F94D9" w14:textId="77777777" w:rsidR="000F4977" w:rsidRPr="0004124E" w:rsidRDefault="000F4977">
      <w:pPr>
        <w:spacing w:line="480" w:lineRule="auto"/>
        <w:ind w:firstLine="720"/>
      </w:pPr>
      <w:r w:rsidRPr="0004124E">
        <w:rPr>
          <w:i/>
        </w:rPr>
        <w:t xml:space="preserve">of Justice Criminal Justice 2000: The Nature of Crime: Continuity and Change </w:t>
      </w:r>
      <w:r w:rsidRPr="0004124E">
        <w:t>1, (2000):</w:t>
      </w:r>
    </w:p>
    <w:p w14:paraId="4B7E18DB" w14:textId="77777777" w:rsidR="000F4977" w:rsidRPr="0004124E" w:rsidRDefault="000F4977">
      <w:pPr>
        <w:spacing w:line="480" w:lineRule="auto"/>
        <w:ind w:firstLine="720"/>
      </w:pPr>
      <w:r w:rsidRPr="0004124E">
        <w:t>485-524.</w:t>
      </w:r>
    </w:p>
    <w:p w14:paraId="3F8C6319" w14:textId="77777777" w:rsidR="000F4977" w:rsidRPr="0004124E" w:rsidRDefault="000F4977">
      <w:pPr>
        <w:spacing w:line="480" w:lineRule="auto"/>
      </w:pPr>
      <w:r w:rsidRPr="0004124E">
        <w:t xml:space="preserve">Martinez, Ramiro, and Jacob I. Stowell. “Extending Immigration and Crime Studies National </w:t>
      </w:r>
    </w:p>
    <w:p w14:paraId="07C2923F" w14:textId="77777777" w:rsidR="000F4977" w:rsidRPr="0004124E" w:rsidRDefault="000F4977">
      <w:pPr>
        <w:spacing w:line="480" w:lineRule="auto"/>
        <w:ind w:firstLine="720"/>
        <w:rPr>
          <w:i/>
          <w:iCs/>
        </w:rPr>
      </w:pPr>
      <w:r w:rsidRPr="0004124E">
        <w:t>Implications and Local Settings.” </w:t>
      </w:r>
      <w:r w:rsidRPr="0004124E">
        <w:rPr>
          <w:i/>
          <w:iCs/>
        </w:rPr>
        <w:t xml:space="preserve">The Annals of the American Academy of Political and </w:t>
      </w:r>
    </w:p>
    <w:p w14:paraId="4E713E66" w14:textId="77777777" w:rsidR="000F4977" w:rsidRPr="007705B1" w:rsidRDefault="000F4977">
      <w:pPr>
        <w:spacing w:line="480" w:lineRule="auto"/>
        <w:ind w:firstLine="720"/>
        <w:rPr>
          <w:lang w:val="es-MX"/>
        </w:rPr>
      </w:pPr>
      <w:r w:rsidRPr="00866B7B">
        <w:rPr>
          <w:i/>
          <w:iCs/>
          <w:lang w:val="es-MX"/>
        </w:rPr>
        <w:t xml:space="preserve">Social Science </w:t>
      </w:r>
      <w:r w:rsidRPr="00866B7B">
        <w:rPr>
          <w:iCs/>
          <w:lang w:val="es-MX"/>
        </w:rPr>
        <w:t>64</w:t>
      </w:r>
      <w:r w:rsidRPr="007705B1">
        <w:rPr>
          <w:lang w:val="es-MX"/>
        </w:rPr>
        <w:t>, no.1 (2012), 174-191. doi: 10.1177/0002716212437363</w:t>
      </w:r>
    </w:p>
    <w:p w14:paraId="69739BC7" w14:textId="77777777" w:rsidR="000F4977" w:rsidRPr="0004124E" w:rsidRDefault="000F4977">
      <w:pPr>
        <w:spacing w:line="480" w:lineRule="auto"/>
      </w:pPr>
      <w:r w:rsidRPr="00091A12">
        <w:rPr>
          <w:lang w:val="es-MX"/>
        </w:rPr>
        <w:t xml:space="preserve">Martínez, Ramiro, and Abel Valenzuela. </w:t>
      </w:r>
      <w:r w:rsidRPr="0004124E">
        <w:rPr>
          <w:i/>
          <w:iCs/>
        </w:rPr>
        <w:t>Immigration and crime: Race, Ethnicity, and Violence</w:t>
      </w:r>
      <w:r w:rsidRPr="0004124E">
        <w:t>.</w:t>
      </w:r>
    </w:p>
    <w:p w14:paraId="132C2180" w14:textId="77777777" w:rsidR="000F4977" w:rsidRPr="0004124E" w:rsidRDefault="000F4977">
      <w:pPr>
        <w:spacing w:line="480" w:lineRule="auto"/>
        <w:ind w:firstLine="720"/>
      </w:pPr>
      <w:r w:rsidRPr="0004124E">
        <w:t>New York, NY: NYU Press,2006.</w:t>
      </w:r>
    </w:p>
    <w:p w14:paraId="1F0DD6D0" w14:textId="77777777" w:rsidR="000F4977" w:rsidRPr="0004124E" w:rsidRDefault="000F4977">
      <w:pPr>
        <w:spacing w:line="480" w:lineRule="auto"/>
      </w:pPr>
      <w:r w:rsidRPr="0004124E">
        <w:t>Menjívar, Cecilia, and Cynthia Bejarano. “Latino Immigrants’ Perceptions of Crime and Police</w:t>
      </w:r>
    </w:p>
    <w:p w14:paraId="70F69C96" w14:textId="77777777" w:rsidR="000F4977" w:rsidRPr="0004124E" w:rsidRDefault="000F4977">
      <w:pPr>
        <w:spacing w:line="480" w:lineRule="auto"/>
        <w:ind w:firstLine="720"/>
      </w:pPr>
      <w:r w:rsidRPr="0004124E">
        <w:t>Authorities in the United States: A Case Study from the Phoenix Metropolitan</w:t>
      </w:r>
    </w:p>
    <w:p w14:paraId="3FE21B15" w14:textId="77777777" w:rsidR="000F4977" w:rsidRPr="0004124E" w:rsidRDefault="000F4977">
      <w:pPr>
        <w:spacing w:line="480" w:lineRule="auto"/>
        <w:ind w:left="720"/>
      </w:pPr>
      <w:r w:rsidRPr="0004124E">
        <w:t>Area.” </w:t>
      </w:r>
      <w:r w:rsidRPr="0004124E">
        <w:rPr>
          <w:i/>
          <w:iCs/>
        </w:rPr>
        <w:t xml:space="preserve">Ethnic and Racial Studies </w:t>
      </w:r>
      <w:r w:rsidRPr="0004124E">
        <w:rPr>
          <w:iCs/>
        </w:rPr>
        <w:t>27</w:t>
      </w:r>
      <w:r w:rsidRPr="0004124E">
        <w:t>, no.1 (2004): 120-148.</w:t>
      </w:r>
    </w:p>
    <w:p w14:paraId="6035C061" w14:textId="77777777" w:rsidR="000F4977" w:rsidRPr="007705B1" w:rsidRDefault="000F4977">
      <w:pPr>
        <w:spacing w:line="480" w:lineRule="auto"/>
        <w:ind w:left="720"/>
        <w:rPr>
          <w:lang w:val="es-MX"/>
        </w:rPr>
      </w:pPr>
      <w:r w:rsidRPr="00866B7B">
        <w:rPr>
          <w:lang w:val="es-MX"/>
        </w:rPr>
        <w:t>doi: 10.1080/0141987032000147968</w:t>
      </w:r>
    </w:p>
    <w:p w14:paraId="09223B95" w14:textId="77777777" w:rsidR="000F4977" w:rsidRPr="0004124E" w:rsidRDefault="000F4977">
      <w:pPr>
        <w:spacing w:line="480" w:lineRule="auto"/>
      </w:pPr>
      <w:r w:rsidRPr="007705B1">
        <w:rPr>
          <w:lang w:val="es-MX"/>
        </w:rPr>
        <w:t xml:space="preserve">Mirandé, Alfredo. </w:t>
      </w:r>
      <w:r w:rsidRPr="007705B1">
        <w:rPr>
          <w:i/>
          <w:iCs/>
          <w:lang w:val="es-MX"/>
        </w:rPr>
        <w:t>Gringo justice</w:t>
      </w:r>
      <w:r w:rsidRPr="00B315C4">
        <w:rPr>
          <w:lang w:val="es-MX"/>
        </w:rPr>
        <w:t xml:space="preserve">. </w:t>
      </w:r>
      <w:r w:rsidRPr="0004124E">
        <w:t xml:space="preserve">Notre Dame, IN: University of Notre Dame Press, 1987. </w:t>
      </w:r>
    </w:p>
    <w:p w14:paraId="01547DA7" w14:textId="77777777" w:rsidR="000F4977" w:rsidRPr="0004124E" w:rsidRDefault="000F4977">
      <w:pPr>
        <w:spacing w:line="480" w:lineRule="auto"/>
        <w:rPr>
          <w:color w:val="222222"/>
          <w:shd w:val="clear" w:color="auto" w:fill="FFFFFF"/>
        </w:rPr>
      </w:pPr>
      <w:r w:rsidRPr="0004124E">
        <w:rPr>
          <w:color w:val="222222"/>
          <w:shd w:val="clear" w:color="auto" w:fill="FFFFFF"/>
        </w:rPr>
        <w:t>Motomura, Hiroshi. “The Discretion that Matters: Federal Immigration Enforcement, State and</w:t>
      </w:r>
    </w:p>
    <w:p w14:paraId="21651DD3" w14:textId="77777777" w:rsidR="000F4977" w:rsidRPr="0004124E" w:rsidRDefault="000F4977">
      <w:pPr>
        <w:spacing w:line="480" w:lineRule="auto"/>
        <w:ind w:firstLine="720"/>
        <w:rPr>
          <w:color w:val="222222"/>
          <w:shd w:val="clear" w:color="auto" w:fill="FFFFFF"/>
        </w:rPr>
      </w:pPr>
      <w:r w:rsidRPr="0004124E">
        <w:rPr>
          <w:color w:val="222222"/>
          <w:shd w:val="clear" w:color="auto" w:fill="FFFFFF"/>
        </w:rPr>
        <w:t>Local Arrests, and the Civil-Criminal Line”.</w:t>
      </w:r>
      <w:r w:rsidRPr="0004124E">
        <w:rPr>
          <w:rStyle w:val="apple-converted-space"/>
          <w:color w:val="222222"/>
          <w:shd w:val="clear" w:color="auto" w:fill="FFFFFF"/>
        </w:rPr>
        <w:t> </w:t>
      </w:r>
      <w:r w:rsidRPr="0004124E">
        <w:rPr>
          <w:i/>
          <w:iCs/>
          <w:color w:val="222222"/>
          <w:shd w:val="clear" w:color="auto" w:fill="FFFFFF"/>
        </w:rPr>
        <w:t xml:space="preserve">UCLA Law Review </w:t>
      </w:r>
      <w:r w:rsidRPr="0004124E">
        <w:rPr>
          <w:iCs/>
          <w:color w:val="222222"/>
          <w:shd w:val="clear" w:color="auto" w:fill="FFFFFF"/>
        </w:rPr>
        <w:t>58</w:t>
      </w:r>
      <w:r w:rsidRPr="0004124E">
        <w:rPr>
          <w:color w:val="222222"/>
          <w:shd w:val="clear" w:color="auto" w:fill="FFFFFF"/>
        </w:rPr>
        <w:t>,</w:t>
      </w:r>
      <w:r w:rsidRPr="0004124E">
        <w:rPr>
          <w:rStyle w:val="apple-converted-space"/>
          <w:color w:val="222222"/>
          <w:shd w:val="clear" w:color="auto" w:fill="FFFFFF"/>
        </w:rPr>
        <w:t> </w:t>
      </w:r>
      <w:r w:rsidRPr="0004124E">
        <w:rPr>
          <w:iCs/>
          <w:color w:val="222222"/>
          <w:shd w:val="clear" w:color="auto" w:fill="FFFFFF"/>
        </w:rPr>
        <w:t>(2011):</w:t>
      </w:r>
      <w:r w:rsidRPr="0004124E">
        <w:rPr>
          <w:color w:val="222222"/>
          <w:shd w:val="clear" w:color="auto" w:fill="FFFFFF"/>
        </w:rPr>
        <w:t xml:space="preserve"> 1819.</w:t>
      </w:r>
    </w:p>
    <w:p w14:paraId="3F35FD4C" w14:textId="77777777" w:rsidR="000F4977" w:rsidRPr="0004124E" w:rsidRDefault="000F4977">
      <w:pPr>
        <w:spacing w:line="480" w:lineRule="auto"/>
      </w:pPr>
      <w:r w:rsidRPr="0004124E">
        <w:t xml:space="preserve">Ngai, Mae. M. </w:t>
      </w:r>
      <w:r w:rsidRPr="0004124E">
        <w:rPr>
          <w:i/>
          <w:iCs/>
        </w:rPr>
        <w:t>Impossible Subjects: Illegal Aliens and the Making of Modern America</w:t>
      </w:r>
      <w:r w:rsidRPr="0004124E">
        <w:t>.</w:t>
      </w:r>
    </w:p>
    <w:p w14:paraId="15432331" w14:textId="231312D5" w:rsidR="000F4977" w:rsidRPr="0004124E" w:rsidRDefault="000F4977">
      <w:pPr>
        <w:spacing w:line="480" w:lineRule="auto"/>
        <w:ind w:firstLine="720"/>
      </w:pPr>
      <w:r w:rsidRPr="0004124E">
        <w:t xml:space="preserve">Princeton, NJ: Princeton University Press, 2014. </w:t>
      </w:r>
    </w:p>
    <w:p w14:paraId="2224EA0A" w14:textId="77777777" w:rsidR="00EA3971" w:rsidRPr="0004124E" w:rsidRDefault="00EA3971">
      <w:pPr>
        <w:spacing w:line="480" w:lineRule="auto"/>
        <w:rPr>
          <w:shd w:val="clear" w:color="auto" w:fill="FFFFFF"/>
        </w:rPr>
      </w:pPr>
      <w:r w:rsidRPr="0004124E">
        <w:rPr>
          <w:shd w:val="clear" w:color="auto" w:fill="FFFFFF"/>
        </w:rPr>
        <w:t xml:space="preserve">Nguyen, M. T., and Gill, H.  “Interior Immigration Enforcement: The Impacts of Expanding </w:t>
      </w:r>
    </w:p>
    <w:p w14:paraId="694868BC" w14:textId="44AAD830" w:rsidR="00EA3971" w:rsidRPr="0004124E" w:rsidRDefault="00EA3971">
      <w:pPr>
        <w:spacing w:line="480" w:lineRule="auto"/>
        <w:rPr>
          <w:rStyle w:val="apple-converted-space"/>
          <w:shd w:val="clear" w:color="auto" w:fill="FFFFFF"/>
        </w:rPr>
      </w:pPr>
      <w:r w:rsidRPr="0004124E">
        <w:rPr>
          <w:shd w:val="clear" w:color="auto" w:fill="FFFFFF"/>
        </w:rPr>
        <w:tab/>
        <w:t>Local Law Enforcement Authority.</w:t>
      </w:r>
      <w:r w:rsidRPr="0004124E">
        <w:rPr>
          <w:rStyle w:val="apple-converted-space"/>
          <w:i/>
          <w:iCs/>
          <w:shd w:val="clear" w:color="auto" w:fill="FFFFFF"/>
        </w:rPr>
        <w:t> </w:t>
      </w:r>
      <w:r w:rsidRPr="0004124E">
        <w:rPr>
          <w:i/>
          <w:iCs/>
          <w:shd w:val="clear" w:color="auto" w:fill="FFFFFF"/>
        </w:rPr>
        <w:t>Urban Studies</w:t>
      </w:r>
      <w:r w:rsidRPr="0004124E">
        <w:rPr>
          <w:rStyle w:val="apple-converted-space"/>
          <w:i/>
          <w:iCs/>
          <w:shd w:val="clear" w:color="auto" w:fill="FFFFFF"/>
        </w:rPr>
        <w:t> </w:t>
      </w:r>
      <w:r w:rsidRPr="0004124E">
        <w:rPr>
          <w:i/>
          <w:iCs/>
          <w:shd w:val="clear" w:color="auto" w:fill="FFFFFF"/>
        </w:rPr>
        <w:t xml:space="preserve">53, </w:t>
      </w:r>
      <w:r w:rsidRPr="0004124E">
        <w:rPr>
          <w:shd w:val="clear" w:color="auto" w:fill="FFFFFF"/>
        </w:rPr>
        <w:t>2, (2016): 302.</w:t>
      </w:r>
      <w:r w:rsidRPr="0004124E">
        <w:rPr>
          <w:rStyle w:val="apple-converted-space"/>
          <w:shd w:val="clear" w:color="auto" w:fill="FFFFFF"/>
        </w:rPr>
        <w:t> </w:t>
      </w:r>
    </w:p>
    <w:p w14:paraId="4BA9D11D" w14:textId="77777777" w:rsidR="000F4977" w:rsidRPr="0004124E" w:rsidRDefault="000F4977">
      <w:pPr>
        <w:spacing w:line="480" w:lineRule="auto"/>
      </w:pPr>
      <w:r w:rsidRPr="0004124E">
        <w:t>Ousey, Graham. C., and Charis E. Kubrin. “Exploring the Connection Between Immigration and</w:t>
      </w:r>
    </w:p>
    <w:p w14:paraId="4CC815DC" w14:textId="77777777" w:rsidR="000F4977" w:rsidRPr="0004124E" w:rsidRDefault="000F4977">
      <w:pPr>
        <w:spacing w:line="480" w:lineRule="auto"/>
        <w:ind w:firstLine="720"/>
      </w:pPr>
      <w:r w:rsidRPr="0004124E">
        <w:t>Violent Crime Rates in US Cities, 1980–2000”. </w:t>
      </w:r>
      <w:r w:rsidRPr="0004124E">
        <w:rPr>
          <w:i/>
          <w:iCs/>
        </w:rPr>
        <w:t>Social problems</w:t>
      </w:r>
      <w:r w:rsidRPr="0004124E">
        <w:rPr>
          <w:iCs/>
        </w:rPr>
        <w:t xml:space="preserve"> 56</w:t>
      </w:r>
      <w:r w:rsidRPr="0004124E">
        <w:t>, </w:t>
      </w:r>
      <w:r w:rsidRPr="0004124E">
        <w:rPr>
          <w:iCs/>
        </w:rPr>
        <w:t>no.</w:t>
      </w:r>
      <w:r w:rsidRPr="0004124E">
        <w:t>3 (2009): 447</w:t>
      </w:r>
    </w:p>
    <w:p w14:paraId="32FB67F9" w14:textId="41828CFD" w:rsidR="000F4977" w:rsidRPr="0004124E" w:rsidRDefault="000F4977">
      <w:pPr>
        <w:spacing w:line="480" w:lineRule="auto"/>
        <w:ind w:left="720"/>
      </w:pPr>
      <w:r w:rsidRPr="0004124E">
        <w:t xml:space="preserve">473. </w:t>
      </w:r>
    </w:p>
    <w:p w14:paraId="6F4635B9" w14:textId="77777777" w:rsidR="0018704C" w:rsidRPr="0004124E" w:rsidRDefault="0018704C">
      <w:pPr>
        <w:spacing w:line="480" w:lineRule="auto"/>
        <w:rPr>
          <w:color w:val="222222"/>
          <w:shd w:val="clear" w:color="auto" w:fill="FFFFFF"/>
        </w:rPr>
      </w:pPr>
      <w:r w:rsidRPr="0004124E">
        <w:rPr>
          <w:color w:val="222222"/>
          <w:shd w:val="clear" w:color="auto" w:fill="FFFFFF"/>
        </w:rPr>
        <w:lastRenderedPageBreak/>
        <w:t xml:space="preserve">Provine, D.M. and Sanchez, G. "Suspecting Immigrants: Exploring Links between Racialised </w:t>
      </w:r>
    </w:p>
    <w:p w14:paraId="5D01B460" w14:textId="77777777" w:rsidR="0018704C" w:rsidRPr="0004124E" w:rsidRDefault="0018704C">
      <w:pPr>
        <w:spacing w:line="480" w:lineRule="auto"/>
        <w:rPr>
          <w:color w:val="222222"/>
          <w:shd w:val="clear" w:color="auto" w:fill="FFFFFF"/>
        </w:rPr>
      </w:pPr>
      <w:r w:rsidRPr="0004124E">
        <w:rPr>
          <w:color w:val="222222"/>
          <w:shd w:val="clear" w:color="auto" w:fill="FFFFFF"/>
        </w:rPr>
        <w:tab/>
        <w:t>Anxieties and Expanded Police Powers in Arizona."</w:t>
      </w:r>
      <w:r w:rsidRPr="0004124E">
        <w:rPr>
          <w:rStyle w:val="apple-converted-space"/>
          <w:color w:val="222222"/>
          <w:shd w:val="clear" w:color="auto" w:fill="FFFFFF"/>
        </w:rPr>
        <w:t> </w:t>
      </w:r>
      <w:r w:rsidRPr="0004124E">
        <w:rPr>
          <w:i/>
          <w:iCs/>
          <w:color w:val="222222"/>
          <w:shd w:val="clear" w:color="auto" w:fill="FFFFFF"/>
        </w:rPr>
        <w:t>Policing and Society</w:t>
      </w:r>
      <w:r w:rsidRPr="0004124E">
        <w:rPr>
          <w:rStyle w:val="apple-converted-space"/>
          <w:color w:val="222222"/>
          <w:shd w:val="clear" w:color="auto" w:fill="FFFFFF"/>
        </w:rPr>
        <w:t> </w:t>
      </w:r>
      <w:r w:rsidRPr="0004124E">
        <w:rPr>
          <w:color w:val="222222"/>
          <w:shd w:val="clear" w:color="auto" w:fill="FFFFFF"/>
        </w:rPr>
        <w:t xml:space="preserve">21.4 (2011): </w:t>
      </w:r>
    </w:p>
    <w:p w14:paraId="48679B7A" w14:textId="6FB8177F" w:rsidR="0018704C" w:rsidRPr="0004124E" w:rsidRDefault="0018704C">
      <w:pPr>
        <w:spacing w:line="480" w:lineRule="auto"/>
      </w:pPr>
      <w:r w:rsidRPr="0004124E">
        <w:rPr>
          <w:color w:val="222222"/>
          <w:shd w:val="clear" w:color="auto" w:fill="FFFFFF"/>
        </w:rPr>
        <w:tab/>
        <w:t>468-479.</w:t>
      </w:r>
    </w:p>
    <w:p w14:paraId="257247D8" w14:textId="77777777" w:rsidR="0018704C" w:rsidRPr="0004124E" w:rsidRDefault="000F4977">
      <w:pPr>
        <w:spacing w:line="480" w:lineRule="auto"/>
        <w:rPr>
          <w:i/>
          <w:iCs/>
        </w:rPr>
      </w:pPr>
      <w:r w:rsidRPr="0004124E">
        <w:t>Provine, D</w:t>
      </w:r>
      <w:r w:rsidR="0018704C" w:rsidRPr="0004124E">
        <w:t>.</w:t>
      </w:r>
      <w:r w:rsidRPr="0004124E">
        <w:t>M</w:t>
      </w:r>
      <w:r w:rsidR="0018704C" w:rsidRPr="0004124E">
        <w:t>.</w:t>
      </w:r>
      <w:r w:rsidRPr="0004124E">
        <w:t xml:space="preserve">, Varsanyi, </w:t>
      </w:r>
      <w:r w:rsidR="0018704C" w:rsidRPr="0004124E">
        <w:t xml:space="preserve">M., </w:t>
      </w:r>
      <w:r w:rsidRPr="0004124E">
        <w:t xml:space="preserve">Lewis, </w:t>
      </w:r>
      <w:r w:rsidR="0018704C" w:rsidRPr="0004124E">
        <w:t xml:space="preserve">P.G., </w:t>
      </w:r>
      <w:r w:rsidRPr="0004124E">
        <w:t>and Decker</w:t>
      </w:r>
      <w:r w:rsidR="0018704C" w:rsidRPr="0004124E">
        <w:t>, S.H.</w:t>
      </w:r>
      <w:r w:rsidRPr="0004124E">
        <w:t xml:space="preserve"> </w:t>
      </w:r>
      <w:r w:rsidRPr="0004124E">
        <w:rPr>
          <w:i/>
          <w:iCs/>
        </w:rPr>
        <w:t>Policing</w:t>
      </w:r>
      <w:r w:rsidR="0018704C" w:rsidRPr="0004124E">
        <w:rPr>
          <w:i/>
          <w:iCs/>
        </w:rPr>
        <w:t xml:space="preserve"> I</w:t>
      </w:r>
      <w:r w:rsidRPr="0004124E">
        <w:rPr>
          <w:i/>
          <w:iCs/>
        </w:rPr>
        <w:t xml:space="preserve">mmigrants: Local Law </w:t>
      </w:r>
    </w:p>
    <w:p w14:paraId="268AB44A" w14:textId="424D7BCF" w:rsidR="000F4977" w:rsidRPr="0004124E" w:rsidRDefault="0018704C">
      <w:pPr>
        <w:spacing w:line="480" w:lineRule="auto"/>
        <w:rPr>
          <w:i/>
          <w:iCs/>
        </w:rPr>
      </w:pPr>
      <w:r w:rsidRPr="0004124E">
        <w:rPr>
          <w:i/>
          <w:iCs/>
        </w:rPr>
        <w:tab/>
      </w:r>
      <w:r w:rsidR="000F4977" w:rsidRPr="0004124E">
        <w:rPr>
          <w:i/>
          <w:iCs/>
        </w:rPr>
        <w:t>Enforcement on the Front Lines</w:t>
      </w:r>
      <w:r w:rsidR="000F4977" w:rsidRPr="0004124E">
        <w:t>. Chicago, IL: The University of</w:t>
      </w:r>
      <w:r w:rsidRPr="0004124E">
        <w:t xml:space="preserve"> </w:t>
      </w:r>
      <w:r w:rsidR="000F4977" w:rsidRPr="0004124E">
        <w:t>Chicago</w:t>
      </w:r>
      <w:r w:rsidR="000F4977" w:rsidRPr="0004124E">
        <w:rPr>
          <w:i/>
          <w:iCs/>
        </w:rPr>
        <w:t xml:space="preserve"> </w:t>
      </w:r>
      <w:r w:rsidR="000F4977" w:rsidRPr="0004124E">
        <w:t>Press,</w:t>
      </w:r>
      <w:r w:rsidRPr="0004124E">
        <w:t xml:space="preserve"> (</w:t>
      </w:r>
      <w:r w:rsidR="000F4977" w:rsidRPr="0004124E">
        <w:t>2016</w:t>
      </w:r>
      <w:r w:rsidRPr="0004124E">
        <w:t>)</w:t>
      </w:r>
      <w:r w:rsidR="000F4977" w:rsidRPr="0004124E">
        <w:t xml:space="preserve">. </w:t>
      </w:r>
    </w:p>
    <w:p w14:paraId="32332FA2" w14:textId="77777777" w:rsidR="000F4977" w:rsidRPr="0004124E" w:rsidRDefault="000F4977">
      <w:pPr>
        <w:spacing w:line="480" w:lineRule="auto"/>
        <w:rPr>
          <w:i/>
          <w:iCs/>
        </w:rPr>
      </w:pPr>
      <w:r w:rsidRPr="0004124E">
        <w:t xml:space="preserve">Raudenbush, Stephen W., and Anthony S. Bryk. </w:t>
      </w:r>
      <w:r w:rsidRPr="0004124E">
        <w:rPr>
          <w:i/>
          <w:iCs/>
        </w:rPr>
        <w:t>Hierarchical Linear Models: Applications and</w:t>
      </w:r>
    </w:p>
    <w:p w14:paraId="70B72EE4" w14:textId="77777777" w:rsidR="000F4977" w:rsidRPr="0004124E" w:rsidRDefault="000F4977">
      <w:pPr>
        <w:spacing w:line="480" w:lineRule="auto"/>
        <w:ind w:firstLine="720"/>
        <w:rPr>
          <w:i/>
          <w:iCs/>
        </w:rPr>
      </w:pPr>
      <w:r w:rsidRPr="0004124E">
        <w:rPr>
          <w:i/>
          <w:iCs/>
        </w:rPr>
        <w:t>Data Analysis Methods</w:t>
      </w:r>
      <w:r w:rsidRPr="0004124E">
        <w:t>. Thousand Oaks: Sage Publications,1992.</w:t>
      </w:r>
    </w:p>
    <w:p w14:paraId="3E8EE740" w14:textId="77777777" w:rsidR="000F4977" w:rsidRPr="0004124E" w:rsidRDefault="000F4977">
      <w:pPr>
        <w:spacing w:line="480" w:lineRule="auto"/>
      </w:pPr>
      <w:r w:rsidRPr="0004124E">
        <w:t>Raudenbush, Stephen W., Anthony S. Bryk, Yuk Fai Cheong, Richard Congdon, and Mathilda</w:t>
      </w:r>
    </w:p>
    <w:p w14:paraId="0B4A56D9" w14:textId="77777777" w:rsidR="000F4977" w:rsidRPr="0004124E" w:rsidRDefault="000F4977">
      <w:pPr>
        <w:spacing w:line="480" w:lineRule="auto"/>
        <w:ind w:firstLine="720"/>
        <w:rPr>
          <w:i/>
          <w:iCs/>
        </w:rPr>
      </w:pPr>
      <w:r w:rsidRPr="0004124E">
        <w:t>Du Toit. “Hierarchical Linear and Nonlinear Modeling (HLM7)”. </w:t>
      </w:r>
      <w:r w:rsidRPr="0004124E">
        <w:rPr>
          <w:i/>
          <w:iCs/>
        </w:rPr>
        <w:t>Lincolnwood, IL:</w:t>
      </w:r>
    </w:p>
    <w:p w14:paraId="3DF27915" w14:textId="77777777" w:rsidR="000F4977" w:rsidRPr="0004124E" w:rsidRDefault="000F4977">
      <w:pPr>
        <w:spacing w:line="480" w:lineRule="auto"/>
        <w:ind w:firstLine="720"/>
      </w:pPr>
      <w:r w:rsidRPr="0004124E">
        <w:rPr>
          <w:i/>
          <w:iCs/>
        </w:rPr>
        <w:t>Scientific Software</w:t>
      </w:r>
      <w:r w:rsidRPr="0004124E">
        <w:t xml:space="preserve"> </w:t>
      </w:r>
      <w:r w:rsidRPr="0004124E">
        <w:rPr>
          <w:i/>
          <w:iCs/>
        </w:rPr>
        <w:t>International</w:t>
      </w:r>
      <w:r w:rsidRPr="0004124E">
        <w:t xml:space="preserve"> (2011).</w:t>
      </w:r>
    </w:p>
    <w:p w14:paraId="1A1BE197" w14:textId="77777777" w:rsidR="000F4977" w:rsidRPr="0004124E" w:rsidRDefault="000F4977">
      <w:pPr>
        <w:spacing w:line="480" w:lineRule="auto"/>
      </w:pPr>
      <w:r w:rsidRPr="0004124E">
        <w:t xml:space="preserve">Rios, Victor. M. </w:t>
      </w:r>
      <w:r w:rsidRPr="0004124E">
        <w:rPr>
          <w:i/>
          <w:iCs/>
        </w:rPr>
        <w:t>Punished: Policing the lives of Black and Latino boys</w:t>
      </w:r>
      <w:r w:rsidRPr="0004124E">
        <w:t xml:space="preserve">. New York, NY: New </w:t>
      </w:r>
    </w:p>
    <w:p w14:paraId="3AAA11DB" w14:textId="77777777" w:rsidR="000F4977" w:rsidRPr="0004124E" w:rsidRDefault="000F4977">
      <w:pPr>
        <w:spacing w:line="480" w:lineRule="auto"/>
        <w:ind w:firstLine="720"/>
      </w:pPr>
      <w:r w:rsidRPr="0004124E">
        <w:t>York University Press, 2010.</w:t>
      </w:r>
    </w:p>
    <w:p w14:paraId="297BDAA6" w14:textId="77777777" w:rsidR="000F4977" w:rsidRPr="0004124E" w:rsidRDefault="000F4977">
      <w:pPr>
        <w:spacing w:line="480" w:lineRule="auto"/>
      </w:pPr>
      <w:r w:rsidRPr="0004124E">
        <w:t>Romero, Mary. (2006). “Racial Profiling and Immigration Law Enforcement: Rounding up of</w:t>
      </w:r>
    </w:p>
    <w:p w14:paraId="0F7FCEDA" w14:textId="77777777" w:rsidR="000F4977" w:rsidRPr="0004124E" w:rsidRDefault="000F4977">
      <w:pPr>
        <w:spacing w:line="480" w:lineRule="auto"/>
        <w:ind w:left="720"/>
      </w:pPr>
      <w:r w:rsidRPr="0004124E">
        <w:t>Usual Suspects in the Latino Community.” </w:t>
      </w:r>
      <w:r w:rsidRPr="0004124E">
        <w:rPr>
          <w:i/>
          <w:iCs/>
        </w:rPr>
        <w:t>Critical Sociology</w:t>
      </w:r>
      <w:r w:rsidRPr="0004124E">
        <w:rPr>
          <w:iCs/>
        </w:rPr>
        <w:t xml:space="preserve"> 32</w:t>
      </w:r>
      <w:r w:rsidRPr="0004124E">
        <w:t>, </w:t>
      </w:r>
      <w:r w:rsidRPr="0004124E">
        <w:rPr>
          <w:iCs/>
        </w:rPr>
        <w:t xml:space="preserve"> no.</w:t>
      </w:r>
      <w:r w:rsidRPr="0004124E">
        <w:t>2-3 (2006): 447-473. doi: 10.1163/156916306777835376</w:t>
      </w:r>
    </w:p>
    <w:p w14:paraId="352F2BAE" w14:textId="77777777" w:rsidR="000F4977" w:rsidRPr="0004124E" w:rsidRDefault="000F4977">
      <w:pPr>
        <w:spacing w:line="480" w:lineRule="auto"/>
      </w:pPr>
      <w:r w:rsidRPr="0004124E">
        <w:t>Saenz, Rogelio. “Latinos in the United States 2010.” </w:t>
      </w:r>
      <w:r w:rsidRPr="0004124E">
        <w:rPr>
          <w:i/>
          <w:iCs/>
        </w:rPr>
        <w:t>Population Bulletin Update</w:t>
      </w:r>
      <w:r w:rsidRPr="0004124E">
        <w:t>. Accessed June</w:t>
      </w:r>
    </w:p>
    <w:p w14:paraId="6DAB8BAC" w14:textId="77777777" w:rsidR="000F4977" w:rsidRPr="0004124E" w:rsidRDefault="000F4977">
      <w:pPr>
        <w:spacing w:line="480" w:lineRule="auto"/>
        <w:ind w:firstLine="720"/>
      </w:pPr>
      <w:r w:rsidRPr="0004124E">
        <w:t>1,2016. (2010). http://www.prb.org/Publications/Reports/2010/latinosupdate1.aspx</w:t>
      </w:r>
    </w:p>
    <w:p w14:paraId="691A410A" w14:textId="77777777" w:rsidR="000F4977" w:rsidRPr="0004124E" w:rsidRDefault="000F4977">
      <w:pPr>
        <w:spacing w:line="480" w:lineRule="auto"/>
        <w:rPr>
          <w:i/>
          <w:iCs/>
          <w:color w:val="000000"/>
        </w:rPr>
      </w:pPr>
      <w:r w:rsidRPr="0004124E">
        <w:rPr>
          <w:color w:val="000000"/>
        </w:rPr>
        <w:t xml:space="preserve">Saenz, Rogelio. “Latinos, Whites, and the Shifting Demography of Arizona.” </w:t>
      </w:r>
      <w:r w:rsidRPr="0004124E">
        <w:rPr>
          <w:i/>
          <w:iCs/>
          <w:color w:val="000000"/>
        </w:rPr>
        <w:t xml:space="preserve">Population </w:t>
      </w:r>
    </w:p>
    <w:p w14:paraId="2F3E0AB4" w14:textId="77777777" w:rsidR="000F4977" w:rsidRPr="0004124E" w:rsidRDefault="000F4977">
      <w:pPr>
        <w:spacing w:line="480" w:lineRule="auto"/>
        <w:rPr>
          <w:color w:val="000000"/>
        </w:rPr>
      </w:pPr>
      <w:r w:rsidRPr="0004124E">
        <w:rPr>
          <w:i/>
          <w:iCs/>
          <w:color w:val="000000"/>
        </w:rPr>
        <w:tab/>
        <w:t>Reference Bureau.</w:t>
      </w:r>
      <w:r w:rsidRPr="0004124E">
        <w:rPr>
          <w:color w:val="000000"/>
        </w:rPr>
        <w:t xml:space="preserve"> Accessed April 24, 2014.(2010)</w:t>
      </w:r>
    </w:p>
    <w:p w14:paraId="3BFD155B" w14:textId="126B1F47" w:rsidR="000F4977" w:rsidRPr="0004124E" w:rsidRDefault="006A15AB" w:rsidP="00091A12">
      <w:pPr>
        <w:spacing w:line="480" w:lineRule="auto"/>
        <w:ind w:firstLine="720"/>
      </w:pPr>
      <w:hyperlink r:id="rId11" w:tgtFrame="_blank" w:history="1">
        <w:r w:rsidR="000F4977" w:rsidRPr="0004124E">
          <w:rPr>
            <w:color w:val="0000FF"/>
            <w:u w:val="single"/>
          </w:rPr>
          <w:t>http://www.prb.org/Articles/2010/usarizonalatinos.aspx</w:t>
        </w:r>
      </w:hyperlink>
      <w:r w:rsidR="000F4977" w:rsidRPr="0004124E">
        <w:rPr>
          <w:color w:val="000000"/>
        </w:rPr>
        <w:t>.</w:t>
      </w:r>
    </w:p>
    <w:p w14:paraId="77292AC8" w14:textId="77777777" w:rsidR="000F4977" w:rsidRPr="0004124E" w:rsidRDefault="000F4977" w:rsidP="0004124E">
      <w:pPr>
        <w:spacing w:line="480" w:lineRule="auto"/>
        <w:rPr>
          <w:i/>
          <w:iCs/>
        </w:rPr>
      </w:pPr>
      <w:r w:rsidRPr="0004124E">
        <w:t xml:space="preserve">Saenz, Rogelio, and Maria Christina Morales. </w:t>
      </w:r>
      <w:r w:rsidRPr="0004124E">
        <w:rPr>
          <w:i/>
          <w:iCs/>
        </w:rPr>
        <w:t>Latinos in the United States: Diversity and</w:t>
      </w:r>
    </w:p>
    <w:p w14:paraId="015B3BFD" w14:textId="77777777" w:rsidR="000F4977" w:rsidRPr="0004124E" w:rsidRDefault="000F4977">
      <w:pPr>
        <w:spacing w:line="480" w:lineRule="auto"/>
        <w:ind w:firstLine="720"/>
      </w:pPr>
      <w:r w:rsidRPr="0004124E">
        <w:rPr>
          <w:i/>
          <w:iCs/>
        </w:rPr>
        <w:t>Change</w:t>
      </w:r>
      <w:r w:rsidRPr="0004124E">
        <w:t xml:space="preserve">. Polity Press, 2015.   </w:t>
      </w:r>
    </w:p>
    <w:p w14:paraId="2418F9A8" w14:textId="77777777" w:rsidR="000F4977" w:rsidRPr="0004124E" w:rsidRDefault="000F4977">
      <w:pPr>
        <w:spacing w:line="480" w:lineRule="auto"/>
      </w:pPr>
      <w:r w:rsidRPr="0004124E">
        <w:t>Salter, Mark B. “Passports, Mobility, and Security: How Smart Can the Border</w:t>
      </w:r>
    </w:p>
    <w:p w14:paraId="6D2E63F8" w14:textId="77777777" w:rsidR="000F4977" w:rsidRPr="0004124E" w:rsidRDefault="000F4977">
      <w:pPr>
        <w:spacing w:line="480" w:lineRule="auto"/>
        <w:ind w:firstLine="720"/>
      </w:pPr>
      <w:r w:rsidRPr="0004124E">
        <w:lastRenderedPageBreak/>
        <w:t>Be?.” </w:t>
      </w:r>
      <w:r w:rsidRPr="0004124E">
        <w:rPr>
          <w:i/>
          <w:iCs/>
        </w:rPr>
        <w:t xml:space="preserve">International Studies Perspectives </w:t>
      </w:r>
      <w:r w:rsidRPr="0004124E">
        <w:rPr>
          <w:iCs/>
        </w:rPr>
        <w:t>5</w:t>
      </w:r>
      <w:r w:rsidRPr="0004124E">
        <w:t>, </w:t>
      </w:r>
      <w:r w:rsidRPr="0004124E">
        <w:rPr>
          <w:iCs/>
        </w:rPr>
        <w:t>no.</w:t>
      </w:r>
      <w:r w:rsidRPr="0004124E">
        <w:t>1 (2004): 71-91.</w:t>
      </w:r>
    </w:p>
    <w:p w14:paraId="27BE0071" w14:textId="77777777" w:rsidR="000F4977" w:rsidRPr="0004124E" w:rsidRDefault="000F4977">
      <w:pPr>
        <w:spacing w:line="480" w:lineRule="auto"/>
        <w:ind w:firstLine="720"/>
      </w:pPr>
      <w:r w:rsidRPr="0004124E">
        <w:t>doi: 10.1111/j.1528-3577.2004.00158.x</w:t>
      </w:r>
    </w:p>
    <w:p w14:paraId="3F23BAF4" w14:textId="77777777" w:rsidR="000F4977" w:rsidRPr="0004124E" w:rsidRDefault="000F4977">
      <w:pPr>
        <w:spacing w:line="480" w:lineRule="auto"/>
      </w:pPr>
      <w:r w:rsidRPr="0004124E">
        <w:t>Sampson, Robert J. “Rethinking Crime and Immigration.” </w:t>
      </w:r>
      <w:r w:rsidRPr="0004124E">
        <w:rPr>
          <w:i/>
          <w:iCs/>
        </w:rPr>
        <w:t xml:space="preserve">Contexts </w:t>
      </w:r>
      <w:r w:rsidRPr="0004124E">
        <w:rPr>
          <w:iCs/>
        </w:rPr>
        <w:t>7</w:t>
      </w:r>
      <w:r w:rsidRPr="0004124E">
        <w:t>, no.1 (2008): 28-33.</w:t>
      </w:r>
    </w:p>
    <w:p w14:paraId="58C7FC8E" w14:textId="77777777" w:rsidR="000F4977" w:rsidRPr="0004124E" w:rsidRDefault="000F4977">
      <w:pPr>
        <w:spacing w:line="480" w:lineRule="auto"/>
      </w:pPr>
      <w:r w:rsidRPr="0004124E">
        <w:tab/>
        <w:t>doi: 10.1525/ctx.2008.7.1.28</w:t>
      </w:r>
    </w:p>
    <w:p w14:paraId="0B30AC3B" w14:textId="77777777" w:rsidR="000F4977" w:rsidRPr="0004124E" w:rsidRDefault="000F4977">
      <w:pPr>
        <w:spacing w:line="480" w:lineRule="auto"/>
      </w:pPr>
      <w:r w:rsidRPr="0004124E">
        <w:t>Sampson, Robert J., and Lydia Bean L. “Cultural Mechanisms and Killing Fields: A Revised</w:t>
      </w:r>
    </w:p>
    <w:p w14:paraId="654C0256" w14:textId="77777777" w:rsidR="000F4977" w:rsidRPr="0004124E" w:rsidRDefault="000F4977">
      <w:pPr>
        <w:spacing w:line="480" w:lineRule="auto"/>
        <w:ind w:firstLine="720"/>
        <w:rPr>
          <w:i/>
          <w:iCs/>
        </w:rPr>
      </w:pPr>
      <w:r w:rsidRPr="0004124E">
        <w:t>Theory of Community-Level Racial Inequality.” </w:t>
      </w:r>
      <w:r w:rsidRPr="0004124E">
        <w:rPr>
          <w:i/>
          <w:iCs/>
        </w:rPr>
        <w:t>The Many</w:t>
      </w:r>
      <w:r w:rsidRPr="0004124E">
        <w:t xml:space="preserve"> </w:t>
      </w:r>
      <w:r w:rsidRPr="0004124E">
        <w:rPr>
          <w:i/>
          <w:iCs/>
        </w:rPr>
        <w:t>Colors of Crime: Inequalities</w:t>
      </w:r>
    </w:p>
    <w:p w14:paraId="30029235" w14:textId="77777777" w:rsidR="000F4977" w:rsidRPr="0004124E" w:rsidRDefault="000F4977">
      <w:pPr>
        <w:spacing w:line="480" w:lineRule="auto"/>
        <w:ind w:left="720"/>
      </w:pPr>
      <w:r w:rsidRPr="0004124E">
        <w:rPr>
          <w:i/>
          <w:iCs/>
        </w:rPr>
        <w:t>of Race, Ethnicity, and Crime in America</w:t>
      </w:r>
      <w:r w:rsidRPr="0004124E">
        <w:t>., edited by  Ruth D. Peterson , Lauren. J. Karvo and John Hagan,8-36. New York: New York University Press, 2006.</w:t>
      </w:r>
    </w:p>
    <w:p w14:paraId="6DAFC37B" w14:textId="77777777" w:rsidR="000F4977" w:rsidRPr="0004124E" w:rsidRDefault="000F4977">
      <w:pPr>
        <w:spacing w:line="480" w:lineRule="auto"/>
        <w:rPr>
          <w:iCs/>
        </w:rPr>
      </w:pPr>
      <w:r w:rsidRPr="0004124E">
        <w:rPr>
          <w:iCs/>
        </w:rPr>
        <w:t>Sampson, Robert  J., and William Julius Wilson, “Toward a Theory of Race, Crime, and Urban</w:t>
      </w:r>
    </w:p>
    <w:p w14:paraId="0AEB49C9" w14:textId="77777777" w:rsidR="000F4977" w:rsidRPr="0004124E" w:rsidRDefault="000F4977">
      <w:pPr>
        <w:spacing w:line="480" w:lineRule="auto"/>
        <w:ind w:firstLine="720"/>
        <w:rPr>
          <w:iCs/>
        </w:rPr>
      </w:pPr>
      <w:r w:rsidRPr="0004124E">
        <w:rPr>
          <w:iCs/>
        </w:rPr>
        <w:t xml:space="preserve">Inequality.” In </w:t>
      </w:r>
      <w:r w:rsidRPr="0004124E">
        <w:rPr>
          <w:i/>
          <w:iCs/>
        </w:rPr>
        <w:t>Race, Crime, and Justice: A reader</w:t>
      </w:r>
      <w:r w:rsidRPr="0004124E">
        <w:rPr>
          <w:iCs/>
        </w:rPr>
        <w:t>, edited by Shuan. L. Gabbidon and</w:t>
      </w:r>
    </w:p>
    <w:p w14:paraId="7F7A607C" w14:textId="77777777" w:rsidR="000F4977" w:rsidRPr="0004124E" w:rsidRDefault="000F4977">
      <w:pPr>
        <w:spacing w:line="480" w:lineRule="auto"/>
        <w:ind w:left="720"/>
        <w:rPr>
          <w:i/>
          <w:iCs/>
        </w:rPr>
      </w:pPr>
      <w:r w:rsidRPr="0004124E">
        <w:rPr>
          <w:iCs/>
        </w:rPr>
        <w:t>Helen Taylor Greene, 177-190. New York, NY: Routledge, 1995.</w:t>
      </w:r>
    </w:p>
    <w:p w14:paraId="14D4654B" w14:textId="77777777" w:rsidR="000F4977" w:rsidRPr="0004124E" w:rsidRDefault="000F4977">
      <w:pPr>
        <w:spacing w:line="480" w:lineRule="auto"/>
        <w:rPr>
          <w:iCs/>
        </w:rPr>
      </w:pPr>
      <w:r w:rsidRPr="0004124E">
        <w:rPr>
          <w:iCs/>
        </w:rPr>
        <w:t>Shahani, Aarti, and Judith Greene. “Local Democracy on ICE .” </w:t>
      </w:r>
      <w:r w:rsidRPr="0004124E">
        <w:rPr>
          <w:i/>
          <w:iCs/>
        </w:rPr>
        <w:t>Justice Strategies Report</w:t>
      </w:r>
      <w:r w:rsidRPr="0004124E">
        <w:rPr>
          <w:iCs/>
        </w:rPr>
        <w:t>(2009).</w:t>
      </w:r>
    </w:p>
    <w:p w14:paraId="333EA578" w14:textId="77777777" w:rsidR="000F4977" w:rsidRPr="0004124E" w:rsidRDefault="000F4977">
      <w:pPr>
        <w:spacing w:line="480" w:lineRule="auto"/>
        <w:rPr>
          <w:i/>
          <w:iCs/>
        </w:rPr>
      </w:pPr>
      <w:r w:rsidRPr="0004124E">
        <w:rPr>
          <w:iCs/>
        </w:rPr>
        <w:t>Stowell, Jacob I., Steven F. Messner, Kelly F. McGeever, and Lawerance E, Raffalovich.</w:t>
      </w:r>
    </w:p>
    <w:p w14:paraId="055EC16B" w14:textId="77777777" w:rsidR="000F4977" w:rsidRPr="0004124E" w:rsidRDefault="000F4977">
      <w:pPr>
        <w:spacing w:line="480" w:lineRule="auto"/>
        <w:ind w:firstLine="720"/>
        <w:rPr>
          <w:rFonts w:ascii="Cambria Math" w:hAnsi="Cambria Math" w:cs="Cambria Math"/>
          <w:iCs/>
        </w:rPr>
      </w:pPr>
      <w:r w:rsidRPr="0004124E">
        <w:rPr>
          <w:i/>
          <w:iCs/>
        </w:rPr>
        <w:t>“</w:t>
      </w:r>
      <w:r w:rsidRPr="0004124E">
        <w:rPr>
          <w:iCs/>
        </w:rPr>
        <w:t>Immigration and the Recent Violent Crime Drop in the United States: A Pooled, Cross</w:t>
      </w:r>
    </w:p>
    <w:p w14:paraId="1F2ECAAA" w14:textId="77777777" w:rsidR="000F4977" w:rsidRPr="0004124E" w:rsidRDefault="000F4977">
      <w:pPr>
        <w:spacing w:line="480" w:lineRule="auto"/>
        <w:ind w:firstLine="720"/>
        <w:rPr>
          <w:iCs/>
        </w:rPr>
      </w:pPr>
      <w:r w:rsidRPr="0004124E">
        <w:rPr>
          <w:iCs/>
        </w:rPr>
        <w:t>Sectional Time</w:t>
      </w:r>
      <w:r w:rsidRPr="0004124E">
        <w:rPr>
          <w:rFonts w:ascii="Cambria Math" w:hAnsi="Cambria Math" w:cs="Cambria Math"/>
          <w:iCs/>
        </w:rPr>
        <w:t>‐</w:t>
      </w:r>
      <w:r w:rsidRPr="0004124E">
        <w:rPr>
          <w:iCs/>
        </w:rPr>
        <w:t>Series</w:t>
      </w:r>
      <w:r w:rsidRPr="0004124E">
        <w:rPr>
          <w:iCs/>
        </w:rPr>
        <w:tab/>
        <w:t>Analysis of Metropolitan Areas</w:t>
      </w:r>
      <w:r w:rsidRPr="0004124E">
        <w:rPr>
          <w:i/>
          <w:iCs/>
        </w:rPr>
        <w:t xml:space="preserve">.” Criminology </w:t>
      </w:r>
      <w:r w:rsidRPr="0004124E">
        <w:rPr>
          <w:iCs/>
        </w:rPr>
        <w:t>47</w:t>
      </w:r>
      <w:r w:rsidRPr="0004124E">
        <w:rPr>
          <w:i/>
          <w:iCs/>
        </w:rPr>
        <w:t>,</w:t>
      </w:r>
      <w:r w:rsidRPr="0004124E">
        <w:rPr>
          <w:iCs/>
        </w:rPr>
        <w:t>no. 3(2009)</w:t>
      </w:r>
      <w:r w:rsidRPr="0004124E">
        <w:rPr>
          <w:i/>
          <w:iCs/>
        </w:rPr>
        <w:t xml:space="preserve">, </w:t>
      </w:r>
      <w:r w:rsidRPr="0004124E">
        <w:rPr>
          <w:iCs/>
        </w:rPr>
        <w:t>889</w:t>
      </w:r>
    </w:p>
    <w:p w14:paraId="6121965A" w14:textId="77777777" w:rsidR="000F4977" w:rsidRPr="0004124E" w:rsidRDefault="000F4977">
      <w:pPr>
        <w:spacing w:line="480" w:lineRule="auto"/>
        <w:ind w:firstLine="720"/>
        <w:rPr>
          <w:iCs/>
        </w:rPr>
      </w:pPr>
      <w:r w:rsidRPr="0004124E">
        <w:rPr>
          <w:iCs/>
        </w:rPr>
        <w:t>928. doi: 10.1111/j.1745-9125.2009.00162.x</w:t>
      </w:r>
    </w:p>
    <w:p w14:paraId="6091D62E" w14:textId="77777777" w:rsidR="000F4977" w:rsidRPr="0004124E" w:rsidRDefault="000F4977">
      <w:pPr>
        <w:spacing w:line="480" w:lineRule="auto"/>
        <w:rPr>
          <w:color w:val="222222"/>
          <w:shd w:val="clear" w:color="auto" w:fill="FFFFFF"/>
        </w:rPr>
      </w:pPr>
      <w:r w:rsidRPr="0004124E">
        <w:rPr>
          <w:color w:val="222222"/>
          <w:shd w:val="clear" w:color="auto" w:fill="FFFFFF"/>
        </w:rPr>
        <w:t>Stumpf, Juliet. P. “The Crimmigration Crisis: Immigrants, Crime, and Sovereign</w:t>
      </w:r>
    </w:p>
    <w:p w14:paraId="55D29A98" w14:textId="77777777" w:rsidR="000F4977" w:rsidRPr="0004124E" w:rsidRDefault="000F4977">
      <w:pPr>
        <w:spacing w:line="480" w:lineRule="auto"/>
        <w:ind w:firstLine="720"/>
        <w:rPr>
          <w:color w:val="222222"/>
          <w:shd w:val="clear" w:color="auto" w:fill="FFFFFF"/>
        </w:rPr>
      </w:pPr>
      <w:r w:rsidRPr="0004124E">
        <w:rPr>
          <w:color w:val="222222"/>
          <w:shd w:val="clear" w:color="auto" w:fill="FFFFFF"/>
        </w:rPr>
        <w:t>Power.”</w:t>
      </w:r>
      <w:r w:rsidRPr="0004124E">
        <w:rPr>
          <w:rStyle w:val="apple-converted-space"/>
          <w:color w:val="222222"/>
          <w:shd w:val="clear" w:color="auto" w:fill="FFFFFF"/>
        </w:rPr>
        <w:t> </w:t>
      </w:r>
      <w:r w:rsidRPr="0004124E">
        <w:rPr>
          <w:i/>
          <w:iCs/>
          <w:color w:val="222222"/>
          <w:shd w:val="clear" w:color="auto" w:fill="FFFFFF"/>
        </w:rPr>
        <w:t>American University Law Review</w:t>
      </w:r>
      <w:r w:rsidRPr="0004124E">
        <w:rPr>
          <w:iCs/>
          <w:color w:val="222222"/>
          <w:shd w:val="clear" w:color="auto" w:fill="FFFFFF"/>
        </w:rPr>
        <w:t xml:space="preserve"> 56</w:t>
      </w:r>
      <w:r w:rsidRPr="0004124E">
        <w:rPr>
          <w:color w:val="222222"/>
          <w:shd w:val="clear" w:color="auto" w:fill="FFFFFF"/>
        </w:rPr>
        <w:t>,</w:t>
      </w:r>
      <w:r w:rsidRPr="0004124E">
        <w:rPr>
          <w:rStyle w:val="apple-converted-space"/>
          <w:color w:val="222222"/>
          <w:shd w:val="clear" w:color="auto" w:fill="FFFFFF"/>
        </w:rPr>
        <w:t> </w:t>
      </w:r>
      <w:r w:rsidRPr="0004124E">
        <w:rPr>
          <w:iCs/>
          <w:color w:val="222222"/>
          <w:shd w:val="clear" w:color="auto" w:fill="FFFFFF"/>
        </w:rPr>
        <w:t>(2006)</w:t>
      </w:r>
      <w:r w:rsidRPr="0004124E">
        <w:rPr>
          <w:color w:val="222222"/>
          <w:shd w:val="clear" w:color="auto" w:fill="FFFFFF"/>
        </w:rPr>
        <w:t>: 367.</w:t>
      </w:r>
    </w:p>
    <w:p w14:paraId="0B81AB0A" w14:textId="77777777" w:rsidR="000F4977" w:rsidRPr="0004124E" w:rsidRDefault="000F4977">
      <w:pPr>
        <w:spacing w:line="480" w:lineRule="auto"/>
        <w:rPr>
          <w:i/>
          <w:iCs/>
          <w:color w:val="222222"/>
          <w:shd w:val="clear" w:color="auto" w:fill="FFFFFF"/>
        </w:rPr>
      </w:pPr>
      <w:r w:rsidRPr="0004124E">
        <w:rPr>
          <w:iCs/>
          <w:color w:val="222222"/>
          <w:shd w:val="clear" w:color="auto" w:fill="FFFFFF"/>
        </w:rPr>
        <w:t>Stumpf, Juliet.“The Process is the Punishment in Crimmigration Law” .In</w:t>
      </w:r>
      <w:r w:rsidRPr="0004124E">
        <w:rPr>
          <w:i/>
          <w:iCs/>
          <w:color w:val="222222"/>
          <w:shd w:val="clear" w:color="auto" w:fill="FFFFFF"/>
        </w:rPr>
        <w:t xml:space="preserve">  The Borders of</w:t>
      </w:r>
    </w:p>
    <w:p w14:paraId="088B4EBE" w14:textId="77777777" w:rsidR="000F4977" w:rsidRPr="0004124E" w:rsidRDefault="000F4977">
      <w:pPr>
        <w:spacing w:line="480" w:lineRule="auto"/>
        <w:ind w:firstLine="720"/>
        <w:rPr>
          <w:iCs/>
          <w:color w:val="222222"/>
          <w:shd w:val="clear" w:color="auto" w:fill="FFFFFF"/>
        </w:rPr>
      </w:pPr>
      <w:r w:rsidRPr="0004124E">
        <w:rPr>
          <w:i/>
          <w:iCs/>
          <w:color w:val="222222"/>
          <w:shd w:val="clear" w:color="auto" w:fill="FFFFFF"/>
        </w:rPr>
        <w:t xml:space="preserve">Punishment. Migration, Citizenship, and Social Exclusio, </w:t>
      </w:r>
      <w:r w:rsidRPr="0004124E">
        <w:rPr>
          <w:iCs/>
          <w:color w:val="222222"/>
          <w:shd w:val="clear" w:color="auto" w:fill="FFFFFF"/>
        </w:rPr>
        <w:t>edited by</w:t>
      </w:r>
      <w:r w:rsidRPr="0004124E">
        <w:rPr>
          <w:i/>
          <w:iCs/>
          <w:color w:val="222222"/>
          <w:shd w:val="clear" w:color="auto" w:fill="FFFFFF"/>
        </w:rPr>
        <w:t xml:space="preserve"> </w:t>
      </w:r>
      <w:r w:rsidRPr="0004124E">
        <w:rPr>
          <w:iCs/>
          <w:color w:val="222222"/>
          <w:shd w:val="clear" w:color="auto" w:fill="FFFFFF"/>
        </w:rPr>
        <w:t>Katja  Franko AAS</w:t>
      </w:r>
    </w:p>
    <w:p w14:paraId="635873A9" w14:textId="77777777" w:rsidR="000F4977" w:rsidRPr="0004124E" w:rsidRDefault="000F4977">
      <w:pPr>
        <w:spacing w:line="480" w:lineRule="auto"/>
        <w:ind w:firstLine="720"/>
        <w:rPr>
          <w:i/>
          <w:iCs/>
          <w:color w:val="222222"/>
          <w:shd w:val="clear" w:color="auto" w:fill="FFFFFF"/>
        </w:rPr>
      </w:pPr>
      <w:r w:rsidRPr="0004124E">
        <w:rPr>
          <w:iCs/>
          <w:color w:val="222222"/>
          <w:shd w:val="clear" w:color="auto" w:fill="FFFFFF"/>
        </w:rPr>
        <w:t>and Mary Bosworth,55-74. Oxford University Press,2013.</w:t>
      </w:r>
    </w:p>
    <w:p w14:paraId="535A13C7" w14:textId="77777777" w:rsidR="000F4977" w:rsidRPr="0004124E" w:rsidRDefault="000F4977">
      <w:pPr>
        <w:spacing w:line="480" w:lineRule="auto"/>
        <w:rPr>
          <w:iCs/>
        </w:rPr>
      </w:pPr>
      <w:r w:rsidRPr="0004124E">
        <w:rPr>
          <w:iCs/>
        </w:rPr>
        <w:t>Stuesse, Angela, and Mathew Coleman. “Automobility, Immobility, Altermobility: Surviving</w:t>
      </w:r>
    </w:p>
    <w:p w14:paraId="41B59D06" w14:textId="77777777" w:rsidR="000F4977" w:rsidRPr="0004124E" w:rsidRDefault="000F4977">
      <w:pPr>
        <w:spacing w:line="480" w:lineRule="auto"/>
        <w:ind w:firstLine="720"/>
        <w:rPr>
          <w:iCs/>
        </w:rPr>
      </w:pPr>
      <w:r w:rsidRPr="0004124E">
        <w:rPr>
          <w:iCs/>
        </w:rPr>
        <w:t>and Resisting the Intensification of Immigrant Policing.” </w:t>
      </w:r>
      <w:r w:rsidRPr="0004124E">
        <w:rPr>
          <w:i/>
          <w:iCs/>
        </w:rPr>
        <w:t xml:space="preserve">City &amp; Society </w:t>
      </w:r>
      <w:r w:rsidRPr="0004124E">
        <w:rPr>
          <w:iCs/>
        </w:rPr>
        <w:t>26,</w:t>
      </w:r>
      <w:r w:rsidRPr="0004124E">
        <w:rPr>
          <w:i/>
          <w:iCs/>
        </w:rPr>
        <w:t xml:space="preserve"> </w:t>
      </w:r>
      <w:r w:rsidRPr="0004124E">
        <w:rPr>
          <w:iCs/>
        </w:rPr>
        <w:t>no.1 (2014):</w:t>
      </w:r>
    </w:p>
    <w:p w14:paraId="6F55BFF3" w14:textId="77777777" w:rsidR="000F4977" w:rsidRPr="0004124E" w:rsidRDefault="000F4977">
      <w:pPr>
        <w:spacing w:line="480" w:lineRule="auto"/>
        <w:ind w:firstLine="720"/>
        <w:rPr>
          <w:iCs/>
        </w:rPr>
      </w:pPr>
      <w:r w:rsidRPr="0004124E">
        <w:rPr>
          <w:iCs/>
        </w:rPr>
        <w:lastRenderedPageBreak/>
        <w:t>51-72. doi: 10.1111/ciso.12034</w:t>
      </w:r>
    </w:p>
    <w:p w14:paraId="47B1C623" w14:textId="77777777" w:rsidR="000F4977" w:rsidRPr="0004124E" w:rsidRDefault="000F4977">
      <w:pPr>
        <w:spacing w:line="480" w:lineRule="auto"/>
        <w:rPr>
          <w:i/>
          <w:iCs/>
        </w:rPr>
      </w:pPr>
      <w:r w:rsidRPr="0004124E">
        <w:rPr>
          <w:iCs/>
        </w:rPr>
        <w:t>Thomas, Pedro. M. “Theoretical articulation on immigration and crime.” </w:t>
      </w:r>
      <w:r w:rsidRPr="0004124E">
        <w:rPr>
          <w:i/>
          <w:iCs/>
        </w:rPr>
        <w:t>Homicide Studies</w:t>
      </w:r>
    </w:p>
    <w:p w14:paraId="0A0B061C" w14:textId="77777777" w:rsidR="000F4977" w:rsidRPr="0004124E" w:rsidRDefault="000F4977">
      <w:pPr>
        <w:spacing w:line="480" w:lineRule="auto"/>
        <w:ind w:firstLine="720"/>
        <w:rPr>
          <w:i/>
          <w:iCs/>
        </w:rPr>
      </w:pPr>
      <w:r w:rsidRPr="0004124E">
        <w:rPr>
          <w:iCs/>
        </w:rPr>
        <w:t>15, no.4 (2011): 382-403. doi: 10.1177/1088767911424539</w:t>
      </w:r>
    </w:p>
    <w:p w14:paraId="63F60808" w14:textId="77777777" w:rsidR="000F4977" w:rsidRPr="0004124E" w:rsidRDefault="000F4977">
      <w:pPr>
        <w:spacing w:line="480" w:lineRule="auto"/>
      </w:pPr>
      <w:r w:rsidRPr="0004124E">
        <w:t>Varsanyi, Monica. W. “Immigration Policing Through the Backdoor: City ordinances, the"</w:t>
      </w:r>
    </w:p>
    <w:p w14:paraId="709F0D05" w14:textId="77777777" w:rsidR="000F4977" w:rsidRPr="0004124E" w:rsidRDefault="000F4977">
      <w:pPr>
        <w:spacing w:line="480" w:lineRule="auto"/>
        <w:ind w:firstLine="720"/>
        <w:rPr>
          <w:i/>
          <w:iCs/>
        </w:rPr>
      </w:pPr>
      <w:r w:rsidRPr="0004124E">
        <w:t>Right to the City," and the Exclusion of Undocumented Day Laborers.” </w:t>
      </w:r>
      <w:r w:rsidRPr="0004124E">
        <w:rPr>
          <w:i/>
          <w:iCs/>
        </w:rPr>
        <w:t>Urban</w:t>
      </w:r>
    </w:p>
    <w:p w14:paraId="20C36B29" w14:textId="0B7C17F8" w:rsidR="000F4977" w:rsidRPr="0004124E" w:rsidRDefault="000F4977">
      <w:pPr>
        <w:spacing w:line="480" w:lineRule="auto"/>
        <w:ind w:left="720"/>
      </w:pPr>
      <w:r w:rsidRPr="0004124E">
        <w:rPr>
          <w:i/>
          <w:iCs/>
        </w:rPr>
        <w:t>Geography</w:t>
      </w:r>
      <w:r w:rsidRPr="0004124E">
        <w:rPr>
          <w:iCs/>
        </w:rPr>
        <w:t xml:space="preserve"> 29</w:t>
      </w:r>
      <w:r w:rsidRPr="0004124E">
        <w:t>, no. 1 (2008): 29-52. doi: 10.2747/0272-3638.29.1.29</w:t>
      </w:r>
    </w:p>
    <w:p w14:paraId="58B67EC8" w14:textId="77777777" w:rsidR="00EB2CB2" w:rsidRPr="0004124E" w:rsidRDefault="00EB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04124E">
        <w:t xml:space="preserve">Vélez, M.B.” Contextualizing the Immigration and Crime Effect.” </w:t>
      </w:r>
      <w:r w:rsidRPr="0004124E">
        <w:rPr>
          <w:i/>
        </w:rPr>
        <w:t>Homicide Studies</w:t>
      </w:r>
      <w:r w:rsidRPr="0004124E">
        <w:t xml:space="preserve"> 13, </w:t>
      </w:r>
    </w:p>
    <w:p w14:paraId="0B508A22" w14:textId="3D1A6E01" w:rsidR="00EB2CB2" w:rsidRPr="0004124E" w:rsidRDefault="00EB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04124E">
        <w:tab/>
        <w:t>3,(2009):325-335.</w:t>
      </w:r>
    </w:p>
    <w:p w14:paraId="03F2BE6B" w14:textId="213EE22F" w:rsidR="000F4977" w:rsidRPr="0004124E" w:rsidRDefault="000F4977">
      <w:pPr>
        <w:spacing w:line="480" w:lineRule="auto"/>
      </w:pPr>
      <w:r w:rsidRPr="0004124E">
        <w:t>Vidales, G</w:t>
      </w:r>
      <w:r w:rsidR="00EB2CB2" w:rsidRPr="0004124E">
        <w:t>.</w:t>
      </w:r>
      <w:r w:rsidRPr="0004124E">
        <w:t xml:space="preserve">, Day, </w:t>
      </w:r>
      <w:r w:rsidR="00EB2CB2" w:rsidRPr="0004124E">
        <w:t xml:space="preserve">K. </w:t>
      </w:r>
      <w:r w:rsidRPr="0004124E">
        <w:t>and Powe</w:t>
      </w:r>
      <w:r w:rsidR="00EB2CB2" w:rsidRPr="0004124E">
        <w:t>, M</w:t>
      </w:r>
      <w:r w:rsidRPr="0004124E">
        <w:t>. “Police and Immigration Enforcement:</w:t>
      </w:r>
    </w:p>
    <w:p w14:paraId="127FBD08" w14:textId="77777777" w:rsidR="000F4977" w:rsidRPr="0004124E" w:rsidRDefault="000F4977">
      <w:pPr>
        <w:spacing w:line="480" w:lineRule="auto"/>
        <w:ind w:firstLine="720"/>
      </w:pPr>
      <w:r w:rsidRPr="0004124E">
        <w:t>Impacts on Latino (a) Residents' Perceptions of Police.” </w:t>
      </w:r>
      <w:r w:rsidRPr="0004124E">
        <w:rPr>
          <w:i/>
          <w:iCs/>
        </w:rPr>
        <w:t>Policing: an International</w:t>
      </w:r>
      <w:r w:rsidRPr="0004124E">
        <w:rPr>
          <w:i/>
          <w:iCs/>
        </w:rPr>
        <w:tab/>
        <w:t>Journal of</w:t>
      </w:r>
      <w:r w:rsidRPr="0004124E">
        <w:t xml:space="preserve"> </w:t>
      </w:r>
      <w:r w:rsidRPr="0004124E">
        <w:rPr>
          <w:i/>
          <w:iCs/>
        </w:rPr>
        <w:t>Police</w:t>
      </w:r>
      <w:r w:rsidRPr="0004124E">
        <w:t xml:space="preserve"> </w:t>
      </w:r>
      <w:r w:rsidRPr="0004124E">
        <w:rPr>
          <w:i/>
          <w:iCs/>
        </w:rPr>
        <w:t xml:space="preserve">Strategies &amp; Management </w:t>
      </w:r>
      <w:r w:rsidRPr="0004124E">
        <w:rPr>
          <w:iCs/>
        </w:rPr>
        <w:t>32</w:t>
      </w:r>
      <w:r w:rsidRPr="0004124E">
        <w:t>, </w:t>
      </w:r>
      <w:r w:rsidRPr="0004124E">
        <w:rPr>
          <w:iCs/>
        </w:rPr>
        <w:t>no.</w:t>
      </w:r>
      <w:r w:rsidRPr="0004124E">
        <w:t>4 (2009): 631-653.</w:t>
      </w:r>
    </w:p>
    <w:p w14:paraId="567F7B84" w14:textId="77777777" w:rsidR="000F4977" w:rsidRPr="0004124E" w:rsidRDefault="000F4977">
      <w:pPr>
        <w:spacing w:line="480" w:lineRule="auto"/>
      </w:pPr>
      <w:r w:rsidRPr="0004124E">
        <w:t>Weitzer, Ronlad, and Steven A. Tuch. “Racially Biased Policing: Determinants of Citizen</w:t>
      </w:r>
    </w:p>
    <w:p w14:paraId="73B250F0" w14:textId="77777777" w:rsidR="000F4977" w:rsidRPr="0004124E" w:rsidRDefault="000F4977">
      <w:pPr>
        <w:spacing w:line="480" w:lineRule="auto"/>
        <w:ind w:firstLine="720"/>
      </w:pPr>
      <w:r w:rsidRPr="0004124E">
        <w:t xml:space="preserve">Perceptions.” </w:t>
      </w:r>
      <w:r w:rsidRPr="0004124E">
        <w:rPr>
          <w:i/>
        </w:rPr>
        <w:t xml:space="preserve">Social Forces </w:t>
      </w:r>
      <w:r w:rsidRPr="0004124E">
        <w:t>83, no. 3 (2005): 1009-1030. doi: 10.1353/sof.2005.0050</w:t>
      </w:r>
    </w:p>
    <w:p w14:paraId="1AD80D29" w14:textId="77777777" w:rsidR="000F4977" w:rsidRPr="0004124E" w:rsidRDefault="000F4977">
      <w:pPr>
        <w:spacing w:line="480" w:lineRule="auto"/>
        <w:rPr>
          <w:i/>
          <w:iCs/>
        </w:rPr>
      </w:pPr>
      <w:r w:rsidRPr="0004124E">
        <w:t>Wishnie, Michael J. “State and Local Police Enforcement of Immigration Laws.” </w:t>
      </w:r>
      <w:r w:rsidRPr="0004124E">
        <w:rPr>
          <w:i/>
          <w:iCs/>
        </w:rPr>
        <w:t xml:space="preserve">University of </w:t>
      </w:r>
    </w:p>
    <w:p w14:paraId="6D7DAF0A" w14:textId="3C3F6EBD" w:rsidR="000F4977" w:rsidRPr="0004124E" w:rsidRDefault="000F4977">
      <w:pPr>
        <w:spacing w:line="480" w:lineRule="auto"/>
        <w:ind w:firstLine="720"/>
      </w:pPr>
      <w:r w:rsidRPr="0004124E">
        <w:rPr>
          <w:i/>
          <w:iCs/>
        </w:rPr>
        <w:t>Pennsylvania Journal of Constitutional Law</w:t>
      </w:r>
      <w:r w:rsidRPr="0004124E">
        <w:t xml:space="preserve"> </w:t>
      </w:r>
      <w:r w:rsidRPr="0004124E">
        <w:rPr>
          <w:iCs/>
        </w:rPr>
        <w:t>4</w:t>
      </w:r>
      <w:r w:rsidRPr="0004124E">
        <w:t xml:space="preserve"> (2004): 1084-1116.</w:t>
      </w:r>
    </w:p>
    <w:p w14:paraId="41A8EBA6" w14:textId="4C7E9074" w:rsidR="00EB2CB2" w:rsidRPr="0004124E" w:rsidRDefault="00EB2CB2">
      <w:pPr>
        <w:spacing w:line="480" w:lineRule="auto"/>
      </w:pPr>
      <w:r w:rsidRPr="0004124E">
        <w:t xml:space="preserve">Wu, Y., Sun, I. Y., &amp; Smith, B. W. “Race, Immigration, and Policing: Chinese </w:t>
      </w:r>
    </w:p>
    <w:p w14:paraId="6888233F" w14:textId="67673A59" w:rsidR="00EB2CB2" w:rsidRPr="0004124E" w:rsidRDefault="00EB2CB2">
      <w:pPr>
        <w:spacing w:line="480" w:lineRule="auto"/>
        <w:rPr>
          <w:i/>
          <w:iCs/>
        </w:rPr>
      </w:pPr>
      <w:r w:rsidRPr="0004124E">
        <w:tab/>
        <w:t>Immigrants' Satisfaction with Police.</w:t>
      </w:r>
      <w:r w:rsidRPr="0004124E">
        <w:rPr>
          <w:rStyle w:val="apple-converted-space"/>
          <w:i/>
          <w:iCs/>
        </w:rPr>
        <w:t> </w:t>
      </w:r>
      <w:r w:rsidRPr="0004124E">
        <w:rPr>
          <w:i/>
          <w:iCs/>
        </w:rPr>
        <w:t>Justice Quarterly,</w:t>
      </w:r>
      <w:r w:rsidRPr="0004124E">
        <w:rPr>
          <w:rStyle w:val="apple-converted-space"/>
          <w:i/>
          <w:iCs/>
        </w:rPr>
        <w:t> </w:t>
      </w:r>
      <w:r w:rsidRPr="0004124E">
        <w:rPr>
          <w:i/>
          <w:iCs/>
        </w:rPr>
        <w:t>28,</w:t>
      </w:r>
      <w:r w:rsidRPr="0004124E">
        <w:t>5, (2011):745-774.</w:t>
      </w:r>
    </w:p>
    <w:p w14:paraId="72E5468A" w14:textId="77777777" w:rsidR="00BB3FA2" w:rsidRPr="00047719" w:rsidRDefault="00BB3FA2">
      <w:pPr>
        <w:spacing w:line="480" w:lineRule="auto"/>
      </w:pPr>
    </w:p>
    <w:sectPr w:rsidR="00BB3FA2" w:rsidRPr="000477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D71C" w14:textId="77777777" w:rsidR="006A15AB" w:rsidRDefault="006A15AB" w:rsidP="005A0577">
      <w:r>
        <w:separator/>
      </w:r>
    </w:p>
  </w:endnote>
  <w:endnote w:type="continuationSeparator" w:id="0">
    <w:p w14:paraId="10C655D8" w14:textId="77777777" w:rsidR="006A15AB" w:rsidRDefault="006A15AB" w:rsidP="005A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581C" w14:textId="77777777" w:rsidR="006A15AB" w:rsidRDefault="006A15AB" w:rsidP="005A0577">
      <w:r>
        <w:separator/>
      </w:r>
    </w:p>
  </w:footnote>
  <w:footnote w:type="continuationSeparator" w:id="0">
    <w:p w14:paraId="49E9143D" w14:textId="77777777" w:rsidR="006A15AB" w:rsidRDefault="006A15AB" w:rsidP="005A0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965024"/>
      <w:docPartObj>
        <w:docPartGallery w:val="Page Numbers (Top of Page)"/>
        <w:docPartUnique/>
      </w:docPartObj>
    </w:sdtPr>
    <w:sdtEndPr>
      <w:rPr>
        <w:noProof/>
      </w:rPr>
    </w:sdtEndPr>
    <w:sdtContent>
      <w:p w14:paraId="0B86FB6A" w14:textId="48358FAB" w:rsidR="009F4795" w:rsidRDefault="009F4795">
        <w:pPr>
          <w:pStyle w:val="Header"/>
          <w:jc w:val="right"/>
        </w:pPr>
        <w:r>
          <w:fldChar w:fldCharType="begin"/>
        </w:r>
        <w:r>
          <w:instrText xml:space="preserve"> PAGE   \* MERGEFORMAT </w:instrText>
        </w:r>
        <w:r>
          <w:fldChar w:fldCharType="separate"/>
        </w:r>
        <w:r w:rsidR="00615A84">
          <w:rPr>
            <w:noProof/>
          </w:rPr>
          <w:t>1</w:t>
        </w:r>
        <w:r>
          <w:rPr>
            <w:noProof/>
          </w:rPr>
          <w:fldChar w:fldCharType="end"/>
        </w:r>
      </w:p>
    </w:sdtContent>
  </w:sdt>
  <w:p w14:paraId="5467BA7E" w14:textId="77777777" w:rsidR="009F4795" w:rsidRDefault="009F47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F1547"/>
    <w:multiLevelType w:val="hybridMultilevel"/>
    <w:tmpl w:val="179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92175"/>
    <w:multiLevelType w:val="hybridMultilevel"/>
    <w:tmpl w:val="8E6AF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2E2B09"/>
    <w:multiLevelType w:val="hybridMultilevel"/>
    <w:tmpl w:val="E786BE0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F6708"/>
    <w:multiLevelType w:val="hybridMultilevel"/>
    <w:tmpl w:val="D0BE9576"/>
    <w:lvl w:ilvl="0" w:tplc="D1C040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467CF"/>
    <w:multiLevelType w:val="hybridMultilevel"/>
    <w:tmpl w:val="D61A40FC"/>
    <w:lvl w:ilvl="0" w:tplc="15907AF6">
      <w:start w:val="47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A759C9"/>
    <w:multiLevelType w:val="hybridMultilevel"/>
    <w:tmpl w:val="7704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75F0E"/>
    <w:multiLevelType w:val="hybridMultilevel"/>
    <w:tmpl w:val="5E36C880"/>
    <w:lvl w:ilvl="0" w:tplc="94A0469C">
      <w:start w:val="47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41B44"/>
    <w:multiLevelType w:val="hybridMultilevel"/>
    <w:tmpl w:val="493AA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8C"/>
    <w:rsid w:val="0000280E"/>
    <w:rsid w:val="000044CC"/>
    <w:rsid w:val="000157E7"/>
    <w:rsid w:val="000167BD"/>
    <w:rsid w:val="00023604"/>
    <w:rsid w:val="0002489C"/>
    <w:rsid w:val="00032C6B"/>
    <w:rsid w:val="0004124E"/>
    <w:rsid w:val="00042B89"/>
    <w:rsid w:val="00047227"/>
    <w:rsid w:val="00047719"/>
    <w:rsid w:val="00054D49"/>
    <w:rsid w:val="000566A8"/>
    <w:rsid w:val="000634B7"/>
    <w:rsid w:val="00063B12"/>
    <w:rsid w:val="00063DC5"/>
    <w:rsid w:val="00066DEC"/>
    <w:rsid w:val="00067B02"/>
    <w:rsid w:val="00073632"/>
    <w:rsid w:val="000878D0"/>
    <w:rsid w:val="00091A12"/>
    <w:rsid w:val="000A29CF"/>
    <w:rsid w:val="000A2B25"/>
    <w:rsid w:val="000B114B"/>
    <w:rsid w:val="000C1AC5"/>
    <w:rsid w:val="000C1B5D"/>
    <w:rsid w:val="000C3782"/>
    <w:rsid w:val="000C7C42"/>
    <w:rsid w:val="000E0B34"/>
    <w:rsid w:val="000F4977"/>
    <w:rsid w:val="00100CB2"/>
    <w:rsid w:val="00100F61"/>
    <w:rsid w:val="00101FD0"/>
    <w:rsid w:val="00105EC9"/>
    <w:rsid w:val="0010652C"/>
    <w:rsid w:val="00107663"/>
    <w:rsid w:val="00112D05"/>
    <w:rsid w:val="001147E7"/>
    <w:rsid w:val="00117169"/>
    <w:rsid w:val="001263B7"/>
    <w:rsid w:val="001266C5"/>
    <w:rsid w:val="001329DD"/>
    <w:rsid w:val="00135703"/>
    <w:rsid w:val="00160F0E"/>
    <w:rsid w:val="00161667"/>
    <w:rsid w:val="00161AC6"/>
    <w:rsid w:val="001814EC"/>
    <w:rsid w:val="00182F23"/>
    <w:rsid w:val="0018704C"/>
    <w:rsid w:val="00193A21"/>
    <w:rsid w:val="0019649B"/>
    <w:rsid w:val="001B065F"/>
    <w:rsid w:val="001B5C11"/>
    <w:rsid w:val="001C5311"/>
    <w:rsid w:val="001E148E"/>
    <w:rsid w:val="001E192A"/>
    <w:rsid w:val="001E45E5"/>
    <w:rsid w:val="001E45EF"/>
    <w:rsid w:val="001F7AB1"/>
    <w:rsid w:val="00200316"/>
    <w:rsid w:val="002139B3"/>
    <w:rsid w:val="002142D3"/>
    <w:rsid w:val="00215E8C"/>
    <w:rsid w:val="00217DD7"/>
    <w:rsid w:val="0022775C"/>
    <w:rsid w:val="0023396E"/>
    <w:rsid w:val="0023656F"/>
    <w:rsid w:val="0023764D"/>
    <w:rsid w:val="00246989"/>
    <w:rsid w:val="002535D3"/>
    <w:rsid w:val="0025505E"/>
    <w:rsid w:val="002633B7"/>
    <w:rsid w:val="00263A82"/>
    <w:rsid w:val="00271A69"/>
    <w:rsid w:val="00274031"/>
    <w:rsid w:val="00277545"/>
    <w:rsid w:val="002801E7"/>
    <w:rsid w:val="00281277"/>
    <w:rsid w:val="0028458C"/>
    <w:rsid w:val="00295502"/>
    <w:rsid w:val="002957CF"/>
    <w:rsid w:val="002A304E"/>
    <w:rsid w:val="002B0F0C"/>
    <w:rsid w:val="002B1C85"/>
    <w:rsid w:val="002D0E57"/>
    <w:rsid w:val="002D2B3A"/>
    <w:rsid w:val="002D3989"/>
    <w:rsid w:val="002D55FF"/>
    <w:rsid w:val="002E25F4"/>
    <w:rsid w:val="002E2A50"/>
    <w:rsid w:val="002E5C01"/>
    <w:rsid w:val="002F39A7"/>
    <w:rsid w:val="00300E5E"/>
    <w:rsid w:val="00306F60"/>
    <w:rsid w:val="00307991"/>
    <w:rsid w:val="00312501"/>
    <w:rsid w:val="00313122"/>
    <w:rsid w:val="00330A0F"/>
    <w:rsid w:val="003366C4"/>
    <w:rsid w:val="003404B9"/>
    <w:rsid w:val="003426CC"/>
    <w:rsid w:val="003446BD"/>
    <w:rsid w:val="003460DD"/>
    <w:rsid w:val="003527E7"/>
    <w:rsid w:val="003661C2"/>
    <w:rsid w:val="00367960"/>
    <w:rsid w:val="0037397D"/>
    <w:rsid w:val="00373CC8"/>
    <w:rsid w:val="00377C9F"/>
    <w:rsid w:val="003875CF"/>
    <w:rsid w:val="0039346C"/>
    <w:rsid w:val="00394DDF"/>
    <w:rsid w:val="003A0B69"/>
    <w:rsid w:val="003A120D"/>
    <w:rsid w:val="003A36BB"/>
    <w:rsid w:val="003A57B4"/>
    <w:rsid w:val="003A5D90"/>
    <w:rsid w:val="003A66BD"/>
    <w:rsid w:val="003C2456"/>
    <w:rsid w:val="003D001F"/>
    <w:rsid w:val="003D561A"/>
    <w:rsid w:val="003D64EC"/>
    <w:rsid w:val="003D7363"/>
    <w:rsid w:val="003E1504"/>
    <w:rsid w:val="003E660D"/>
    <w:rsid w:val="003F202B"/>
    <w:rsid w:val="003F6D8E"/>
    <w:rsid w:val="00402BFC"/>
    <w:rsid w:val="0040339B"/>
    <w:rsid w:val="0040709A"/>
    <w:rsid w:val="00407B78"/>
    <w:rsid w:val="00417885"/>
    <w:rsid w:val="00426CE5"/>
    <w:rsid w:val="004448A8"/>
    <w:rsid w:val="0045034E"/>
    <w:rsid w:val="00450DD2"/>
    <w:rsid w:val="004510B3"/>
    <w:rsid w:val="00453634"/>
    <w:rsid w:val="00454EA4"/>
    <w:rsid w:val="00460355"/>
    <w:rsid w:val="004643C7"/>
    <w:rsid w:val="0047670C"/>
    <w:rsid w:val="00481E44"/>
    <w:rsid w:val="00491031"/>
    <w:rsid w:val="00492F8A"/>
    <w:rsid w:val="004936D7"/>
    <w:rsid w:val="00497F6F"/>
    <w:rsid w:val="004A41BF"/>
    <w:rsid w:val="004A504A"/>
    <w:rsid w:val="004A6290"/>
    <w:rsid w:val="004B414E"/>
    <w:rsid w:val="004B5B34"/>
    <w:rsid w:val="004D28CD"/>
    <w:rsid w:val="004D444F"/>
    <w:rsid w:val="004D61FD"/>
    <w:rsid w:val="004E30F9"/>
    <w:rsid w:val="00501AB6"/>
    <w:rsid w:val="005144D0"/>
    <w:rsid w:val="00526794"/>
    <w:rsid w:val="005343A9"/>
    <w:rsid w:val="00537AC3"/>
    <w:rsid w:val="00545EAC"/>
    <w:rsid w:val="00550862"/>
    <w:rsid w:val="00554B2E"/>
    <w:rsid w:val="00554CC8"/>
    <w:rsid w:val="005703B0"/>
    <w:rsid w:val="00570DC4"/>
    <w:rsid w:val="005759DC"/>
    <w:rsid w:val="00577202"/>
    <w:rsid w:val="0058185B"/>
    <w:rsid w:val="0058429C"/>
    <w:rsid w:val="00591901"/>
    <w:rsid w:val="005A0577"/>
    <w:rsid w:val="005A6B11"/>
    <w:rsid w:val="005C204E"/>
    <w:rsid w:val="005E7C00"/>
    <w:rsid w:val="005F3FEA"/>
    <w:rsid w:val="00602C06"/>
    <w:rsid w:val="00615A84"/>
    <w:rsid w:val="006164B2"/>
    <w:rsid w:val="00622EF3"/>
    <w:rsid w:val="00626248"/>
    <w:rsid w:val="00631767"/>
    <w:rsid w:val="00632981"/>
    <w:rsid w:val="00637CA5"/>
    <w:rsid w:val="00642684"/>
    <w:rsid w:val="006446C8"/>
    <w:rsid w:val="00647188"/>
    <w:rsid w:val="0064753A"/>
    <w:rsid w:val="00650ADD"/>
    <w:rsid w:val="006511FE"/>
    <w:rsid w:val="00664570"/>
    <w:rsid w:val="006709D2"/>
    <w:rsid w:val="0067355B"/>
    <w:rsid w:val="0067647B"/>
    <w:rsid w:val="00680EB2"/>
    <w:rsid w:val="0069050F"/>
    <w:rsid w:val="00691CCE"/>
    <w:rsid w:val="00693F46"/>
    <w:rsid w:val="006A15AB"/>
    <w:rsid w:val="006B68D1"/>
    <w:rsid w:val="006B7804"/>
    <w:rsid w:val="006C2DFA"/>
    <w:rsid w:val="006C5F34"/>
    <w:rsid w:val="006D278C"/>
    <w:rsid w:val="006D3E80"/>
    <w:rsid w:val="006E21A8"/>
    <w:rsid w:val="006E2F95"/>
    <w:rsid w:val="006F29D6"/>
    <w:rsid w:val="006F352A"/>
    <w:rsid w:val="00717A5B"/>
    <w:rsid w:val="007330DA"/>
    <w:rsid w:val="00763F2D"/>
    <w:rsid w:val="00765DB5"/>
    <w:rsid w:val="00766BE0"/>
    <w:rsid w:val="00766C5A"/>
    <w:rsid w:val="00767CAB"/>
    <w:rsid w:val="007705B1"/>
    <w:rsid w:val="007745E4"/>
    <w:rsid w:val="00775AB8"/>
    <w:rsid w:val="00776C8D"/>
    <w:rsid w:val="007816E5"/>
    <w:rsid w:val="007931AA"/>
    <w:rsid w:val="00796E92"/>
    <w:rsid w:val="007A1B74"/>
    <w:rsid w:val="007A4F4F"/>
    <w:rsid w:val="007B25F2"/>
    <w:rsid w:val="007C0025"/>
    <w:rsid w:val="007C30D9"/>
    <w:rsid w:val="007C4AE8"/>
    <w:rsid w:val="007C5C72"/>
    <w:rsid w:val="007D0640"/>
    <w:rsid w:val="007D0E63"/>
    <w:rsid w:val="007D453A"/>
    <w:rsid w:val="007D5C5B"/>
    <w:rsid w:val="007E2862"/>
    <w:rsid w:val="007E4C0E"/>
    <w:rsid w:val="007E6072"/>
    <w:rsid w:val="007F1DDD"/>
    <w:rsid w:val="0080147B"/>
    <w:rsid w:val="00805F7F"/>
    <w:rsid w:val="008077AF"/>
    <w:rsid w:val="00823951"/>
    <w:rsid w:val="00834A63"/>
    <w:rsid w:val="0084213D"/>
    <w:rsid w:val="00844158"/>
    <w:rsid w:val="008450EF"/>
    <w:rsid w:val="008535B3"/>
    <w:rsid w:val="00857329"/>
    <w:rsid w:val="008601E1"/>
    <w:rsid w:val="00864D74"/>
    <w:rsid w:val="00865405"/>
    <w:rsid w:val="00866B7B"/>
    <w:rsid w:val="00874E20"/>
    <w:rsid w:val="008755D9"/>
    <w:rsid w:val="00876459"/>
    <w:rsid w:val="008768C0"/>
    <w:rsid w:val="00881206"/>
    <w:rsid w:val="00883F5F"/>
    <w:rsid w:val="0088730F"/>
    <w:rsid w:val="008A0610"/>
    <w:rsid w:val="008B0D82"/>
    <w:rsid w:val="008B6BEE"/>
    <w:rsid w:val="008C3488"/>
    <w:rsid w:val="008D1F33"/>
    <w:rsid w:val="008D2A53"/>
    <w:rsid w:val="008D3F09"/>
    <w:rsid w:val="008D424C"/>
    <w:rsid w:val="008D5517"/>
    <w:rsid w:val="008D652D"/>
    <w:rsid w:val="008E434B"/>
    <w:rsid w:val="008E5EB4"/>
    <w:rsid w:val="008F4708"/>
    <w:rsid w:val="008F495E"/>
    <w:rsid w:val="008F4E8F"/>
    <w:rsid w:val="009030E2"/>
    <w:rsid w:val="00903936"/>
    <w:rsid w:val="00911AFA"/>
    <w:rsid w:val="009149F3"/>
    <w:rsid w:val="00921F53"/>
    <w:rsid w:val="00927CD1"/>
    <w:rsid w:val="00934529"/>
    <w:rsid w:val="009353EA"/>
    <w:rsid w:val="0093593E"/>
    <w:rsid w:val="00937A1D"/>
    <w:rsid w:val="009513CF"/>
    <w:rsid w:val="009600D1"/>
    <w:rsid w:val="0096040E"/>
    <w:rsid w:val="009731D8"/>
    <w:rsid w:val="009735A9"/>
    <w:rsid w:val="00975DE0"/>
    <w:rsid w:val="00977CAA"/>
    <w:rsid w:val="0098119C"/>
    <w:rsid w:val="00987A72"/>
    <w:rsid w:val="00995B19"/>
    <w:rsid w:val="009A07A5"/>
    <w:rsid w:val="009A6603"/>
    <w:rsid w:val="009B31EB"/>
    <w:rsid w:val="009B3A29"/>
    <w:rsid w:val="009B403A"/>
    <w:rsid w:val="009B7924"/>
    <w:rsid w:val="009C23ED"/>
    <w:rsid w:val="009C2917"/>
    <w:rsid w:val="009C2F95"/>
    <w:rsid w:val="009C3197"/>
    <w:rsid w:val="009C414C"/>
    <w:rsid w:val="009D155E"/>
    <w:rsid w:val="009D2ED7"/>
    <w:rsid w:val="009D3EF7"/>
    <w:rsid w:val="009D7976"/>
    <w:rsid w:val="009F3B43"/>
    <w:rsid w:val="009F4795"/>
    <w:rsid w:val="009F6351"/>
    <w:rsid w:val="00A022B4"/>
    <w:rsid w:val="00A0378F"/>
    <w:rsid w:val="00A0647C"/>
    <w:rsid w:val="00A064E8"/>
    <w:rsid w:val="00A12858"/>
    <w:rsid w:val="00A1529C"/>
    <w:rsid w:val="00A176D5"/>
    <w:rsid w:val="00A21A07"/>
    <w:rsid w:val="00A24DDB"/>
    <w:rsid w:val="00A25D2A"/>
    <w:rsid w:val="00A25F5D"/>
    <w:rsid w:val="00A328B5"/>
    <w:rsid w:val="00A34C15"/>
    <w:rsid w:val="00A438FE"/>
    <w:rsid w:val="00A45BC7"/>
    <w:rsid w:val="00A46587"/>
    <w:rsid w:val="00A5340B"/>
    <w:rsid w:val="00A53613"/>
    <w:rsid w:val="00A62F0B"/>
    <w:rsid w:val="00A63C69"/>
    <w:rsid w:val="00A85298"/>
    <w:rsid w:val="00A87D6A"/>
    <w:rsid w:val="00A87F8A"/>
    <w:rsid w:val="00A978FF"/>
    <w:rsid w:val="00AB717E"/>
    <w:rsid w:val="00AB747E"/>
    <w:rsid w:val="00AC11DA"/>
    <w:rsid w:val="00AC4FAF"/>
    <w:rsid w:val="00AD0ED9"/>
    <w:rsid w:val="00AD1E03"/>
    <w:rsid w:val="00AD75F3"/>
    <w:rsid w:val="00AE1283"/>
    <w:rsid w:val="00AE4C7F"/>
    <w:rsid w:val="00AF2E7B"/>
    <w:rsid w:val="00AF678A"/>
    <w:rsid w:val="00AF7991"/>
    <w:rsid w:val="00B03452"/>
    <w:rsid w:val="00B07F42"/>
    <w:rsid w:val="00B103CA"/>
    <w:rsid w:val="00B15604"/>
    <w:rsid w:val="00B165A0"/>
    <w:rsid w:val="00B16DFE"/>
    <w:rsid w:val="00B25C90"/>
    <w:rsid w:val="00B26A03"/>
    <w:rsid w:val="00B315C4"/>
    <w:rsid w:val="00B33DD8"/>
    <w:rsid w:val="00B34C90"/>
    <w:rsid w:val="00B36C5E"/>
    <w:rsid w:val="00B427A5"/>
    <w:rsid w:val="00B44620"/>
    <w:rsid w:val="00B46B32"/>
    <w:rsid w:val="00B51638"/>
    <w:rsid w:val="00B54516"/>
    <w:rsid w:val="00B578B1"/>
    <w:rsid w:val="00B632ED"/>
    <w:rsid w:val="00B75D6C"/>
    <w:rsid w:val="00B875A7"/>
    <w:rsid w:val="00B953AD"/>
    <w:rsid w:val="00BA1E7B"/>
    <w:rsid w:val="00BA2A4E"/>
    <w:rsid w:val="00BA596D"/>
    <w:rsid w:val="00BA603B"/>
    <w:rsid w:val="00BB3FA2"/>
    <w:rsid w:val="00BB769D"/>
    <w:rsid w:val="00BB77E3"/>
    <w:rsid w:val="00BC6F3A"/>
    <w:rsid w:val="00BC77F2"/>
    <w:rsid w:val="00BD1D5D"/>
    <w:rsid w:val="00BE3BA8"/>
    <w:rsid w:val="00C132D3"/>
    <w:rsid w:val="00C13F92"/>
    <w:rsid w:val="00C320D0"/>
    <w:rsid w:val="00C32CE5"/>
    <w:rsid w:val="00C4478F"/>
    <w:rsid w:val="00C53849"/>
    <w:rsid w:val="00C62930"/>
    <w:rsid w:val="00C66595"/>
    <w:rsid w:val="00C72189"/>
    <w:rsid w:val="00C809AC"/>
    <w:rsid w:val="00C81BA1"/>
    <w:rsid w:val="00C90256"/>
    <w:rsid w:val="00C94B6D"/>
    <w:rsid w:val="00C977E5"/>
    <w:rsid w:val="00CA452B"/>
    <w:rsid w:val="00CB044D"/>
    <w:rsid w:val="00CB2FD3"/>
    <w:rsid w:val="00CD0A1C"/>
    <w:rsid w:val="00CD6AB9"/>
    <w:rsid w:val="00CE0680"/>
    <w:rsid w:val="00CE1735"/>
    <w:rsid w:val="00CE692B"/>
    <w:rsid w:val="00CF7505"/>
    <w:rsid w:val="00D138A8"/>
    <w:rsid w:val="00D177CE"/>
    <w:rsid w:val="00D17D80"/>
    <w:rsid w:val="00D22F8C"/>
    <w:rsid w:val="00D24BE4"/>
    <w:rsid w:val="00D2590D"/>
    <w:rsid w:val="00D266DC"/>
    <w:rsid w:val="00D34420"/>
    <w:rsid w:val="00D43DB3"/>
    <w:rsid w:val="00D45565"/>
    <w:rsid w:val="00D46C34"/>
    <w:rsid w:val="00D676B6"/>
    <w:rsid w:val="00D67918"/>
    <w:rsid w:val="00D72C54"/>
    <w:rsid w:val="00D72FC9"/>
    <w:rsid w:val="00D74844"/>
    <w:rsid w:val="00D76D36"/>
    <w:rsid w:val="00D84A36"/>
    <w:rsid w:val="00D95EAE"/>
    <w:rsid w:val="00DA0B32"/>
    <w:rsid w:val="00DA4EEA"/>
    <w:rsid w:val="00DA6AA9"/>
    <w:rsid w:val="00DB63CF"/>
    <w:rsid w:val="00DC035F"/>
    <w:rsid w:val="00DC2C4A"/>
    <w:rsid w:val="00DC3864"/>
    <w:rsid w:val="00DC620B"/>
    <w:rsid w:val="00DE13BC"/>
    <w:rsid w:val="00E00184"/>
    <w:rsid w:val="00E10A61"/>
    <w:rsid w:val="00E22EE6"/>
    <w:rsid w:val="00E2360A"/>
    <w:rsid w:val="00E277FB"/>
    <w:rsid w:val="00E319E2"/>
    <w:rsid w:val="00E40653"/>
    <w:rsid w:val="00E4488D"/>
    <w:rsid w:val="00E52339"/>
    <w:rsid w:val="00E548A0"/>
    <w:rsid w:val="00E718F0"/>
    <w:rsid w:val="00E75C57"/>
    <w:rsid w:val="00E8355F"/>
    <w:rsid w:val="00E85772"/>
    <w:rsid w:val="00EA3971"/>
    <w:rsid w:val="00EB2CB2"/>
    <w:rsid w:val="00EB6415"/>
    <w:rsid w:val="00EC2F4A"/>
    <w:rsid w:val="00EC62E3"/>
    <w:rsid w:val="00ED2588"/>
    <w:rsid w:val="00ED46E9"/>
    <w:rsid w:val="00ED5ED6"/>
    <w:rsid w:val="00EE2A8F"/>
    <w:rsid w:val="00EE588B"/>
    <w:rsid w:val="00EF15D9"/>
    <w:rsid w:val="00EF3C4B"/>
    <w:rsid w:val="00EF4292"/>
    <w:rsid w:val="00F0338A"/>
    <w:rsid w:val="00F0649E"/>
    <w:rsid w:val="00F10F39"/>
    <w:rsid w:val="00F12D7C"/>
    <w:rsid w:val="00F25378"/>
    <w:rsid w:val="00F30FEC"/>
    <w:rsid w:val="00F322EC"/>
    <w:rsid w:val="00F32B79"/>
    <w:rsid w:val="00F42DFF"/>
    <w:rsid w:val="00F46619"/>
    <w:rsid w:val="00F50B38"/>
    <w:rsid w:val="00F50C91"/>
    <w:rsid w:val="00F60125"/>
    <w:rsid w:val="00F62851"/>
    <w:rsid w:val="00F819C9"/>
    <w:rsid w:val="00F819CC"/>
    <w:rsid w:val="00F83834"/>
    <w:rsid w:val="00F97863"/>
    <w:rsid w:val="00FA0B5E"/>
    <w:rsid w:val="00FA38B4"/>
    <w:rsid w:val="00FB4196"/>
    <w:rsid w:val="00FD25FC"/>
    <w:rsid w:val="00FD2779"/>
    <w:rsid w:val="00FE7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B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44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A0B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6D"/>
    <w:pPr>
      <w:ind w:left="720"/>
      <w:contextualSpacing/>
    </w:pPr>
  </w:style>
  <w:style w:type="paragraph" w:styleId="Header">
    <w:name w:val="header"/>
    <w:basedOn w:val="Normal"/>
    <w:link w:val="HeaderChar"/>
    <w:uiPriority w:val="99"/>
    <w:unhideWhenUsed/>
    <w:rsid w:val="005A0577"/>
    <w:pPr>
      <w:tabs>
        <w:tab w:val="center" w:pos="4680"/>
        <w:tab w:val="right" w:pos="9360"/>
      </w:tabs>
    </w:pPr>
  </w:style>
  <w:style w:type="character" w:customStyle="1" w:styleId="HeaderChar">
    <w:name w:val="Header Char"/>
    <w:basedOn w:val="DefaultParagraphFont"/>
    <w:link w:val="Header"/>
    <w:uiPriority w:val="99"/>
    <w:rsid w:val="005A05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577"/>
    <w:pPr>
      <w:tabs>
        <w:tab w:val="center" w:pos="4680"/>
        <w:tab w:val="right" w:pos="9360"/>
      </w:tabs>
    </w:pPr>
  </w:style>
  <w:style w:type="character" w:customStyle="1" w:styleId="FooterChar">
    <w:name w:val="Footer Char"/>
    <w:basedOn w:val="DefaultParagraphFont"/>
    <w:link w:val="Footer"/>
    <w:uiPriority w:val="99"/>
    <w:rsid w:val="005A05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329"/>
    <w:rPr>
      <w:rFonts w:ascii="Tahoma" w:hAnsi="Tahoma" w:cs="Tahoma"/>
      <w:sz w:val="16"/>
      <w:szCs w:val="16"/>
    </w:rPr>
  </w:style>
  <w:style w:type="character" w:customStyle="1" w:styleId="BalloonTextChar">
    <w:name w:val="Balloon Text Char"/>
    <w:basedOn w:val="DefaultParagraphFont"/>
    <w:link w:val="BalloonText"/>
    <w:uiPriority w:val="99"/>
    <w:semiHidden/>
    <w:rsid w:val="00857329"/>
    <w:rPr>
      <w:rFonts w:ascii="Tahoma" w:eastAsia="Times New Roman" w:hAnsi="Tahoma" w:cs="Tahoma"/>
      <w:sz w:val="16"/>
      <w:szCs w:val="16"/>
    </w:rPr>
  </w:style>
  <w:style w:type="character" w:customStyle="1" w:styleId="Heading1Char">
    <w:name w:val="Heading 1 Char"/>
    <w:basedOn w:val="DefaultParagraphFont"/>
    <w:link w:val="Heading1"/>
    <w:uiPriority w:val="9"/>
    <w:rsid w:val="000044C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76D36"/>
    <w:rPr>
      <w:sz w:val="16"/>
      <w:szCs w:val="16"/>
    </w:rPr>
  </w:style>
  <w:style w:type="paragraph" w:styleId="CommentText">
    <w:name w:val="annotation text"/>
    <w:basedOn w:val="Normal"/>
    <w:link w:val="CommentTextChar"/>
    <w:uiPriority w:val="99"/>
    <w:semiHidden/>
    <w:unhideWhenUsed/>
    <w:rsid w:val="00D76D3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6D36"/>
    <w:rPr>
      <w:sz w:val="20"/>
      <w:szCs w:val="20"/>
    </w:rPr>
  </w:style>
  <w:style w:type="character" w:customStyle="1" w:styleId="apple-converted-space">
    <w:name w:val="apple-converted-space"/>
    <w:basedOn w:val="DefaultParagraphFont"/>
    <w:rsid w:val="00BB3FA2"/>
  </w:style>
  <w:style w:type="character" w:customStyle="1" w:styleId="Heading5Char">
    <w:name w:val="Heading 5 Char"/>
    <w:basedOn w:val="DefaultParagraphFont"/>
    <w:link w:val="Heading5"/>
    <w:uiPriority w:val="9"/>
    <w:semiHidden/>
    <w:rsid w:val="00FA0B5E"/>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A45BC7"/>
    <w:rPr>
      <w:color w:val="0563C1" w:themeColor="hyperlink"/>
      <w:u w:val="single"/>
    </w:rPr>
  </w:style>
  <w:style w:type="character" w:customStyle="1" w:styleId="hit">
    <w:name w:val="hit"/>
    <w:basedOn w:val="DefaultParagraphFont"/>
    <w:rsid w:val="00A176D5"/>
  </w:style>
  <w:style w:type="paragraph" w:customStyle="1" w:styleId="DecimalAligned">
    <w:name w:val="Decimal Aligned"/>
    <w:basedOn w:val="Normal"/>
    <w:uiPriority w:val="40"/>
    <w:qFormat/>
    <w:rsid w:val="000F4977"/>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0F4977"/>
    <w:rPr>
      <w:i/>
      <w:iCs/>
      <w:color w:val="7F7F7F" w:themeColor="text1" w:themeTint="80"/>
    </w:rPr>
  </w:style>
  <w:style w:type="table" w:styleId="MediumList2">
    <w:name w:val="Medium List 2"/>
    <w:basedOn w:val="TableNormal"/>
    <w:uiPriority w:val="66"/>
    <w:rsid w:val="000F49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9F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3EF7"/>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E4C0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E4C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mail.utep.edu/owa/redir.aspx?C=pPCWFT-pH0GQaj97lO7jQupuWssDM9EIRiNHEvdApr7M6EeMhBqPYIYqT-rUd66do6OMWbreEIE.&amp;URL=http%3a%2f%2fwww.prb.org%2fArticles%2f2010%2fusarizonalatinos.asp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morales@utep.edu" TargetMode="External"/><Relationship Id="rId9" Type="http://schemas.openxmlformats.org/officeDocument/2006/relationships/hyperlink" Target="https://www.census.gov/programs" TargetMode="External"/><Relationship Id="rId10" Type="http://schemas.openxmlformats.org/officeDocument/2006/relationships/hyperlink" Target="http://crimmigration.com/2015/07/07/pep-vs-secur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7987-D85E-F44D-8408-4C10D63E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9334</Words>
  <Characters>53206</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62416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Morales</dc:creator>
  <cp:lastModifiedBy>Microsoft Office User</cp:lastModifiedBy>
  <cp:revision>2</cp:revision>
  <cp:lastPrinted>2016-06-29T15:12:00Z</cp:lastPrinted>
  <dcterms:created xsi:type="dcterms:W3CDTF">2017-02-14T17:56:00Z</dcterms:created>
  <dcterms:modified xsi:type="dcterms:W3CDTF">2017-02-14T17:56:00Z</dcterms:modified>
</cp:coreProperties>
</file>