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A6" w:rsidRDefault="00F526A6" w:rsidP="00F526A6">
      <w:pPr>
        <w:rPr>
          <w:rFonts w:ascii="Franklin Gothic Demi Cond" w:hAnsi="Franklin Gothic Demi Cond"/>
          <w:color w:val="365F91" w:themeColor="accent1" w:themeShade="BF"/>
          <w:sz w:val="72"/>
          <w:szCs w:val="72"/>
        </w:rPr>
      </w:pPr>
    </w:p>
    <w:p w:rsidR="00F526A6" w:rsidRDefault="00427D52" w:rsidP="00F526A6">
      <w:pPr>
        <w:rPr>
          <w:rFonts w:ascii="Franklin Gothic Demi Cond" w:hAnsi="Franklin Gothic Demi Cond"/>
          <w:color w:val="365F91" w:themeColor="accent1" w:themeShade="BF"/>
          <w:sz w:val="72"/>
          <w:szCs w:val="72"/>
        </w:rPr>
      </w:pPr>
      <w:r>
        <w:rPr>
          <w:rFonts w:ascii="Franklin Gothic Demi Cond" w:hAnsi="Franklin Gothic Demi Cond"/>
          <w:noProof/>
          <w:color w:val="365F91" w:themeColor="accent1" w:themeShade="BF"/>
          <w:sz w:val="72"/>
          <w:szCs w:val="7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638810</wp:posOffset>
                </wp:positionV>
                <wp:extent cx="5248275" cy="0"/>
                <wp:effectExtent l="47625" t="47625" r="47625" b="4762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20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7C9BF" id="_x0000_t32" coordsize="21600,21600" o:spt="32" o:oned="t" path="m,l21600,21600e" filled="f">
                <v:path arrowok="t" fillok="f" o:connecttype="none"/>
                <o:lock v:ext="edit" shapetype="t"/>
              </v:shapetype>
              <v:shape id="AutoShape 17" o:spid="_x0000_s1026" type="#_x0000_t32" style="position:absolute;margin-left:0;margin-top:50.3pt;width:41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" strokecolor="#943634 [2405]" strokeweight="7.25pt"/>
            </w:pict>
          </mc:Fallback>
        </mc:AlternateContent>
      </w:r>
    </w:p>
    <w:p w:rsidR="00F526A6" w:rsidRDefault="00F526A6" w:rsidP="00F526A6">
      <w:pPr>
        <w:rPr>
          <w:rFonts w:ascii="Franklin Gothic Demi Cond" w:hAnsi="Franklin Gothic Demi Cond"/>
          <w:color w:val="365F91" w:themeColor="accent1" w:themeShade="BF"/>
          <w:sz w:val="72"/>
          <w:szCs w:val="72"/>
        </w:rPr>
      </w:pPr>
    </w:p>
    <w:p w:rsidR="00EE5AA8" w:rsidRPr="00F526A6" w:rsidRDefault="00CD7283" w:rsidP="00F526A6">
      <w:pPr>
        <w:rPr>
          <w:rFonts w:ascii="Franklin Gothic Demi Cond" w:hAnsi="Franklin Gothic Demi Cond"/>
          <w:color w:val="365F91" w:themeColor="accent1" w:themeShade="BF"/>
          <w:sz w:val="72"/>
          <w:szCs w:val="72"/>
        </w:rPr>
      </w:pPr>
      <w:r>
        <w:rPr>
          <w:rFonts w:ascii="Franklin Gothic Demi Cond" w:hAnsi="Franklin Gothic Demi Cond"/>
          <w:color w:val="365F91" w:themeColor="accent1" w:themeShade="BF"/>
          <w:sz w:val="72"/>
          <w:szCs w:val="72"/>
        </w:rPr>
        <w:t>Export Control Process Guide</w:t>
      </w:r>
    </w:p>
    <w:p w:rsidR="00EE5AA8" w:rsidRDefault="00EE5AA8" w:rsidP="00EE5AA8">
      <w:pPr>
        <w:pStyle w:val="Heading2"/>
      </w:pPr>
    </w:p>
    <w:p w:rsidR="000970C1" w:rsidRPr="00F526A6" w:rsidRDefault="00CD7283" w:rsidP="00F526A6">
      <w:pPr>
        <w:rPr>
          <w:color w:val="943634" w:themeColor="accent2" w:themeShade="BF"/>
          <w:sz w:val="44"/>
          <w:szCs w:val="44"/>
        </w:rPr>
      </w:pPr>
      <w:r>
        <w:rPr>
          <w:color w:val="943634" w:themeColor="accent2" w:themeShade="BF"/>
          <w:sz w:val="44"/>
          <w:szCs w:val="44"/>
        </w:rPr>
        <w:t>Office of Research and Sponsored Projects</w:t>
      </w: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427D52" w:rsidP="00EE5AA8">
      <w:pPr>
        <w:pStyle w:val="NoSpacing"/>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94615</wp:posOffset>
                </wp:positionV>
                <wp:extent cx="5172075" cy="0"/>
                <wp:effectExtent l="9525" t="9525" r="9525" b="95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227E4" id="AutoShape 18" o:spid="_x0000_s1026" type="#_x0000_t32" style="position:absolute;margin-left:0;margin-top:7.45pt;width:4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JI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"/>
            </w:pict>
          </mc:Fallback>
        </mc:AlternateContent>
      </w: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EE5AA8" w:rsidRDefault="00EE5AA8" w:rsidP="00EE5AA8">
      <w:pPr>
        <w:pStyle w:val="NoSpacing"/>
      </w:pPr>
    </w:p>
    <w:p w:rsidR="00AC69FA" w:rsidRPr="000E026D" w:rsidRDefault="00AC69FA" w:rsidP="00AC69FA">
      <w:pPr>
        <w:pStyle w:val="Heading2"/>
      </w:pPr>
      <w:bookmarkStart w:id="0" w:name="_Toc349306927"/>
      <w:r w:rsidRPr="000E026D">
        <w:lastRenderedPageBreak/>
        <w:t>Background</w:t>
      </w:r>
      <w:bookmarkEnd w:id="0"/>
    </w:p>
    <w:p w:rsidR="00AC69FA" w:rsidRPr="000E026D" w:rsidRDefault="00AD49EC" w:rsidP="00AC69FA">
      <w:pPr>
        <w:pStyle w:val="Heading3"/>
      </w:pPr>
      <w:bookmarkStart w:id="1" w:name="_Toc349306928"/>
      <w:r>
        <w:t xml:space="preserve">CITI hosted Export Control </w:t>
      </w:r>
      <w:r w:rsidR="00AC69FA" w:rsidRPr="000E026D">
        <w:t>training</w:t>
      </w:r>
      <w:bookmarkEnd w:id="1"/>
    </w:p>
    <w:p w:rsidR="00AD49EC" w:rsidRDefault="00AD49EC" w:rsidP="00AC69FA">
      <w:pPr>
        <w:pStyle w:val="NoSpacing"/>
      </w:pPr>
    </w:p>
    <w:p w:rsidR="00AC69FA" w:rsidRPr="000E026D" w:rsidRDefault="005F0A4C" w:rsidP="00AC69FA">
      <w:pPr>
        <w:pStyle w:val="NoSpacing"/>
      </w:pPr>
      <w:r>
        <w:t>The Office of Research and Sponsored Projects (</w:t>
      </w:r>
      <w:r w:rsidR="00AD49EC">
        <w:t>ORSP</w:t>
      </w:r>
      <w:r>
        <w:t>)</w:t>
      </w:r>
      <w:r w:rsidR="00AC69FA" w:rsidRPr="000E026D">
        <w:t xml:space="preserve"> elected to join "Collaborative Institutional Training Initiative" (CITI), a web-based training site to </w:t>
      </w:r>
      <w:r w:rsidR="00BC02D9">
        <w:t xml:space="preserve">educate and </w:t>
      </w:r>
      <w:r w:rsidR="00AC69FA" w:rsidRPr="000E026D">
        <w:t xml:space="preserve">provide </w:t>
      </w:r>
      <w:r w:rsidR="00BC02D9">
        <w:t xml:space="preserve">awareness to </w:t>
      </w:r>
      <w:r w:rsidR="00AC69FA" w:rsidRPr="000E026D">
        <w:t>UTEP's research community</w:t>
      </w:r>
      <w:r w:rsidR="00BC02D9">
        <w:t xml:space="preserve"> regarding export control</w:t>
      </w:r>
      <w:r w:rsidR="00AC69FA" w:rsidRPr="000E026D">
        <w:t xml:space="preserve">. </w:t>
      </w:r>
      <w:r w:rsidR="00AD49EC">
        <w:t xml:space="preserve">ORSP identified and established </w:t>
      </w:r>
      <w:r w:rsidR="00AC69FA" w:rsidRPr="000E026D">
        <w:t xml:space="preserve">specific </w:t>
      </w:r>
      <w:r w:rsidR="00BC02D9">
        <w:t xml:space="preserve">training modules </w:t>
      </w:r>
      <w:r w:rsidR="00AC69FA" w:rsidRPr="000E026D">
        <w:t xml:space="preserve">for </w:t>
      </w:r>
      <w:r w:rsidR="00AD49EC">
        <w:t>three different learner groups</w:t>
      </w:r>
      <w:r w:rsidR="00BC02D9">
        <w:t xml:space="preserve">: Research Administration, Business Centers &amp; Administrators, and Researchers.  </w:t>
      </w:r>
      <w:r w:rsidR="00AC69FA" w:rsidRPr="000E026D">
        <w:t xml:space="preserve">The </w:t>
      </w:r>
      <w:r w:rsidR="00BC02D9">
        <w:t>training modules</w:t>
      </w:r>
      <w:r w:rsidR="00AC69FA" w:rsidRPr="000E026D">
        <w:t xml:space="preserve"> through CITI </w:t>
      </w:r>
      <w:proofErr w:type="gramStart"/>
      <w:r w:rsidR="00AC69FA" w:rsidRPr="000E026D">
        <w:t>include:</w:t>
      </w:r>
      <w:proofErr w:type="gramEnd"/>
      <w:r w:rsidR="00AC69FA" w:rsidRPr="000E026D">
        <w:t xml:space="preserve"> </w:t>
      </w:r>
      <w:r w:rsidR="00BC02D9">
        <w:t xml:space="preserve">Export Compliance for Researchers (Part I and II), Export Compliance for Research Administrators, Export Compliance when using Technology in Research, Export Control and Biosafety.  </w:t>
      </w:r>
    </w:p>
    <w:p w:rsidR="00AC69FA" w:rsidRPr="000E026D" w:rsidRDefault="00AC69FA" w:rsidP="00AC69FA">
      <w:pPr>
        <w:pStyle w:val="Heading3"/>
        <w:rPr>
          <w:rFonts w:ascii="Franklin Gothic Book" w:hAnsi="Franklin Gothic Book" w:cs="Segoe UI"/>
        </w:rPr>
      </w:pPr>
      <w:bookmarkStart w:id="2" w:name="_Toc349306929"/>
      <w:r w:rsidRPr="000E026D">
        <w:rPr>
          <w:rFonts w:ascii="Franklin Gothic Book" w:hAnsi="Franklin Gothic Book" w:cs="Segoe UI"/>
        </w:rPr>
        <w:t>Policy</w:t>
      </w:r>
      <w:bookmarkEnd w:id="2"/>
    </w:p>
    <w:p w:rsidR="00BC02D9" w:rsidRDefault="00AC69FA" w:rsidP="00AC69FA">
      <w:pPr>
        <w:rPr>
          <w:rFonts w:cs="Segoe UI"/>
        </w:rPr>
      </w:pPr>
      <w:r w:rsidRPr="000E026D">
        <w:rPr>
          <w:rFonts w:cs="Segoe UI"/>
        </w:rPr>
        <w:t xml:space="preserve">UTEP's policy </w:t>
      </w:r>
      <w:r w:rsidR="00781234">
        <w:rPr>
          <w:rFonts w:cs="Segoe UI"/>
        </w:rPr>
        <w:t xml:space="preserve">includes the obligation that </w:t>
      </w:r>
      <w:r w:rsidR="00BC02D9">
        <w:rPr>
          <w:rFonts w:cs="Segoe UI"/>
        </w:rPr>
        <w:t>Export Control</w:t>
      </w:r>
      <w:r w:rsidRPr="000E026D">
        <w:rPr>
          <w:rFonts w:cs="Segoe UI"/>
        </w:rPr>
        <w:t xml:space="preserve"> training </w:t>
      </w:r>
      <w:proofErr w:type="gramStart"/>
      <w:r w:rsidRPr="000E026D">
        <w:rPr>
          <w:rFonts w:cs="Segoe UI"/>
        </w:rPr>
        <w:t xml:space="preserve">is </w:t>
      </w:r>
      <w:r w:rsidR="00FE1F33">
        <w:rPr>
          <w:rFonts w:cs="Segoe UI"/>
        </w:rPr>
        <w:t>provided</w:t>
      </w:r>
      <w:proofErr w:type="gramEnd"/>
      <w:r w:rsidR="00BC02D9">
        <w:rPr>
          <w:rFonts w:cs="Segoe UI"/>
        </w:rPr>
        <w:t xml:space="preserve"> for</w:t>
      </w:r>
      <w:r w:rsidRPr="000E026D">
        <w:rPr>
          <w:rFonts w:cs="Segoe UI"/>
        </w:rPr>
        <w:t xml:space="preserve"> students, faculty</w:t>
      </w:r>
      <w:r w:rsidR="00BC02D9">
        <w:rPr>
          <w:rFonts w:cs="Segoe UI"/>
        </w:rPr>
        <w:t>/researchers</w:t>
      </w:r>
      <w:r w:rsidRPr="000E026D">
        <w:rPr>
          <w:rFonts w:cs="Segoe UI"/>
        </w:rPr>
        <w:t xml:space="preserve"> and </w:t>
      </w:r>
      <w:r w:rsidR="00BC02D9">
        <w:rPr>
          <w:rFonts w:cs="Segoe UI"/>
        </w:rPr>
        <w:t xml:space="preserve">support staff that are involved with sponsored projects that are subject to export control.  The Export Control Committee has identified specific individuals in research administration, administrative support staff and researchers to complete the training.  </w:t>
      </w:r>
      <w:r w:rsidR="00B25766">
        <w:rPr>
          <w:rFonts w:cs="Segoe UI"/>
        </w:rPr>
        <w:t>Each semester, t</w:t>
      </w:r>
      <w:r w:rsidR="00BC02D9">
        <w:rPr>
          <w:rFonts w:cs="Segoe UI"/>
        </w:rPr>
        <w:t xml:space="preserve">he list of trainees will change as new staff/faculty/employees come on board and/or new projects subject to export control </w:t>
      </w:r>
      <w:proofErr w:type="gramStart"/>
      <w:r w:rsidR="00BC02D9">
        <w:rPr>
          <w:rFonts w:cs="Segoe UI"/>
        </w:rPr>
        <w:t>are funded</w:t>
      </w:r>
      <w:proofErr w:type="gramEnd"/>
      <w:r w:rsidR="00BC02D9">
        <w:rPr>
          <w:rFonts w:cs="Segoe UI"/>
        </w:rPr>
        <w:t xml:space="preserve">.  </w:t>
      </w:r>
    </w:p>
    <w:p w:rsidR="00AC69FA" w:rsidRPr="000E026D" w:rsidRDefault="00BC02D9" w:rsidP="00AC69FA">
      <w:pPr>
        <w:rPr>
          <w:rFonts w:cs="Segoe UI"/>
        </w:rPr>
      </w:pPr>
      <w:r>
        <w:rPr>
          <w:rFonts w:cs="Segoe UI"/>
        </w:rPr>
        <w:t xml:space="preserve">Export control training through CITI does not expire once the training is completed with a grade of 80% or higher.  Trainees do not need to complete a refresher course once the training </w:t>
      </w:r>
      <w:proofErr w:type="gramStart"/>
      <w:r>
        <w:rPr>
          <w:rFonts w:cs="Segoe UI"/>
        </w:rPr>
        <w:t>has been successfully completed</w:t>
      </w:r>
      <w:proofErr w:type="gramEnd"/>
      <w:r>
        <w:rPr>
          <w:rFonts w:cs="Segoe UI"/>
        </w:rPr>
        <w:t xml:space="preserve">.  </w:t>
      </w:r>
    </w:p>
    <w:p w:rsidR="00AC69FA" w:rsidRDefault="00AC69FA" w:rsidP="00AC69FA">
      <w:pPr>
        <w:pStyle w:val="Heading3"/>
        <w:rPr>
          <w:rFonts w:ascii="Franklin Gothic Book" w:hAnsi="Franklin Gothic Book" w:cs="Segoe UI"/>
        </w:rPr>
      </w:pPr>
      <w:bookmarkStart w:id="3" w:name="_Toc349306930"/>
      <w:r w:rsidRPr="000E026D">
        <w:rPr>
          <w:rFonts w:ascii="Franklin Gothic Book" w:hAnsi="Franklin Gothic Book" w:cs="Segoe UI"/>
        </w:rPr>
        <w:t>Process</w:t>
      </w:r>
      <w:bookmarkEnd w:id="3"/>
    </w:p>
    <w:p w:rsidR="00A01283" w:rsidRDefault="00A01283" w:rsidP="00A01283">
      <w:pPr>
        <w:pStyle w:val="Heading1"/>
        <w:ind w:left="-5"/>
      </w:pPr>
      <w:r>
        <w:t xml:space="preserve">Implementation of an Export Controls Compliance Program in Sponsored Projects </w:t>
      </w:r>
    </w:p>
    <w:p w:rsidR="005F0A4C" w:rsidRPr="005F0A4C" w:rsidRDefault="005F0A4C" w:rsidP="005F0A4C"/>
    <w:p w:rsidR="00A01283" w:rsidRDefault="00A01283" w:rsidP="00A01283">
      <w:pPr>
        <w:ind w:left="10" w:hanging="10"/>
      </w:pPr>
      <w:r>
        <w:t xml:space="preserve">The Research Administrator (RA) assigned to a particular research award will review the terms of the award for provisions that restrict access to or publication of research and technical data, that limit the participation of foreign nationals in the research effort, or that otherwise render the exclusion from the export control regulations </w:t>
      </w:r>
      <w:r w:rsidR="00FE1F33">
        <w:t xml:space="preserve">as </w:t>
      </w:r>
      <w:r>
        <w:t xml:space="preserve">inapplicable.  </w:t>
      </w:r>
      <w:r w:rsidR="00FE1F33">
        <w:t>The E</w:t>
      </w:r>
      <w:r w:rsidR="00FB1668">
        <w:t>xport Control Review Form (E</w:t>
      </w:r>
      <w:r w:rsidR="00FE1F33">
        <w:t>CR form</w:t>
      </w:r>
      <w:r w:rsidR="00FB1668">
        <w:t>)</w:t>
      </w:r>
      <w:r w:rsidR="00781234">
        <w:t xml:space="preserve"> (See Appendix I)</w:t>
      </w:r>
      <w:r w:rsidR="00FE1F33">
        <w:t xml:space="preserve"> </w:t>
      </w:r>
      <w:proofErr w:type="gramStart"/>
      <w:r w:rsidR="00FE1F33">
        <w:t>will be completed</w:t>
      </w:r>
      <w:proofErr w:type="gramEnd"/>
      <w:r w:rsidR="00AF78E4">
        <w:t>,</w:t>
      </w:r>
      <w:r w:rsidR="00FE1F33">
        <w:t xml:space="preserve"> if the grant/contract references Export Control for determination on a T</w:t>
      </w:r>
      <w:r w:rsidR="00FB1668">
        <w:t>echnology Control Plan (T</w:t>
      </w:r>
      <w:r w:rsidR="00FE1F33">
        <w:t>CP</w:t>
      </w:r>
      <w:r w:rsidR="00FB1668">
        <w:t>)</w:t>
      </w:r>
      <w:r w:rsidR="00781234">
        <w:t xml:space="preserve"> (See Appendix II)</w:t>
      </w:r>
      <w:r w:rsidR="00FE1F33">
        <w:t xml:space="preserve">.  </w:t>
      </w:r>
      <w:r>
        <w:t>The</w:t>
      </w:r>
      <w:r w:rsidR="00FB1668">
        <w:t xml:space="preserve"> results of such review </w:t>
      </w:r>
      <w:proofErr w:type="gramStart"/>
      <w:r w:rsidR="00FB1668">
        <w:t xml:space="preserve">will also </w:t>
      </w:r>
      <w:r>
        <w:t>be indicated</w:t>
      </w:r>
      <w:proofErr w:type="gramEnd"/>
      <w:r>
        <w:t xml:space="preserve"> on the </w:t>
      </w:r>
      <w:r w:rsidR="00FE1F33">
        <w:t>Notice of Award</w:t>
      </w:r>
      <w:r w:rsidR="00FB1668">
        <w:t>.</w:t>
      </w:r>
    </w:p>
    <w:p w:rsidR="00A01283" w:rsidRDefault="00A01283" w:rsidP="00A01283">
      <w:pPr>
        <w:ind w:left="10"/>
      </w:pPr>
      <w:r>
        <w:t>The ECR Form is to determine the applicability of Export Control</w:t>
      </w:r>
      <w:r w:rsidR="00FB1668">
        <w:t>:</w:t>
      </w:r>
    </w:p>
    <w:p w:rsidR="00A01283" w:rsidRDefault="00A01283" w:rsidP="00A01283">
      <w:pPr>
        <w:pStyle w:val="ListParagraph"/>
        <w:numPr>
          <w:ilvl w:val="0"/>
          <w:numId w:val="19"/>
        </w:numPr>
        <w:spacing w:after="205" w:line="269" w:lineRule="auto"/>
      </w:pPr>
      <w:r>
        <w:t>If not applicable, RA identifies reason for determination and signs/files the ECR Form with Project information.</w:t>
      </w:r>
    </w:p>
    <w:p w:rsidR="001D6C2B" w:rsidRPr="001D6C2B" w:rsidRDefault="001D6C2B" w:rsidP="001D6C2B">
      <w:pPr>
        <w:pStyle w:val="ListParagraph"/>
        <w:numPr>
          <w:ilvl w:val="1"/>
          <w:numId w:val="19"/>
        </w:numPr>
        <w:spacing w:after="205" w:line="269" w:lineRule="auto"/>
      </w:pPr>
      <w:r w:rsidRPr="001D6C2B">
        <w:t>Fundamental Research exclusion</w:t>
      </w:r>
      <w:r>
        <w:t xml:space="preserve"> provides that </w:t>
      </w:r>
      <w:r w:rsidRPr="001D6C2B">
        <w:t>the research must:</w:t>
      </w:r>
    </w:p>
    <w:p w:rsidR="001D6C2B" w:rsidRPr="001D6C2B" w:rsidRDefault="001D6C2B" w:rsidP="001D6C2B">
      <w:pPr>
        <w:pStyle w:val="ListParagraph"/>
        <w:numPr>
          <w:ilvl w:val="2"/>
          <w:numId w:val="19"/>
        </w:numPr>
        <w:spacing w:after="205" w:line="269" w:lineRule="auto"/>
      </w:pPr>
      <w:r w:rsidRPr="001D6C2B">
        <w:t>Already be in the public domain</w:t>
      </w:r>
    </w:p>
    <w:p w:rsidR="001D6C2B" w:rsidRPr="001D6C2B" w:rsidRDefault="001D6C2B" w:rsidP="001D6C2B">
      <w:pPr>
        <w:pStyle w:val="ListParagraph"/>
        <w:numPr>
          <w:ilvl w:val="2"/>
          <w:numId w:val="19"/>
        </w:numPr>
        <w:spacing w:after="205" w:line="269" w:lineRule="auto"/>
      </w:pPr>
      <w:r w:rsidRPr="001D6C2B">
        <w:t xml:space="preserve">be conducted free of any publication restrictions and </w:t>
      </w:r>
    </w:p>
    <w:p w:rsidR="001D6C2B" w:rsidRDefault="001D6C2B" w:rsidP="001D6C2B">
      <w:pPr>
        <w:pStyle w:val="ListParagraph"/>
        <w:numPr>
          <w:ilvl w:val="2"/>
          <w:numId w:val="19"/>
        </w:numPr>
        <w:spacing w:after="205" w:line="269" w:lineRule="auto"/>
      </w:pPr>
      <w:r w:rsidRPr="001D6C2B">
        <w:lastRenderedPageBreak/>
        <w:t>without any access or dissemination restrictions</w:t>
      </w:r>
    </w:p>
    <w:p w:rsidR="00F14249" w:rsidRDefault="00F14249" w:rsidP="00F14249">
      <w:pPr>
        <w:pStyle w:val="ListParagraph"/>
        <w:numPr>
          <w:ilvl w:val="1"/>
          <w:numId w:val="19"/>
        </w:numPr>
        <w:spacing w:after="205" w:line="269" w:lineRule="auto"/>
      </w:pPr>
      <w:r>
        <w:t>On an annual basis, RA will check with PI ref. changes that may require TCP</w:t>
      </w:r>
    </w:p>
    <w:p w:rsidR="00F14249" w:rsidRDefault="00F14249" w:rsidP="00F14249">
      <w:pPr>
        <w:pStyle w:val="ListParagraph"/>
        <w:numPr>
          <w:ilvl w:val="1"/>
          <w:numId w:val="19"/>
        </w:numPr>
        <w:spacing w:after="205" w:line="269" w:lineRule="auto"/>
      </w:pPr>
      <w:r>
        <w:t>Upon notification of PI, RA may require a TCP plan should the project develop/create export controlled technology</w:t>
      </w:r>
    </w:p>
    <w:p w:rsidR="00A01283" w:rsidRDefault="00A01283" w:rsidP="00A01283">
      <w:pPr>
        <w:pStyle w:val="ListParagraph"/>
        <w:numPr>
          <w:ilvl w:val="0"/>
          <w:numId w:val="19"/>
        </w:numPr>
        <w:spacing w:after="205" w:line="269" w:lineRule="auto"/>
      </w:pPr>
      <w:r>
        <w:t>If applicable:</w:t>
      </w:r>
    </w:p>
    <w:p w:rsidR="00AF78E4" w:rsidRDefault="00A01283" w:rsidP="00A01283">
      <w:pPr>
        <w:pStyle w:val="ListParagraph"/>
        <w:numPr>
          <w:ilvl w:val="1"/>
          <w:numId w:val="19"/>
        </w:numPr>
        <w:spacing w:after="205" w:line="269" w:lineRule="auto"/>
      </w:pPr>
      <w:r>
        <w:t xml:space="preserve">A Technology Control Plan (TCP) is required from PI.   The TCP is to mitigate risks of violating Export Control Laws and to provide assurances that a plan is in place to avoid disclosure of controlled technology to unauthorized entities or individuals. </w:t>
      </w:r>
    </w:p>
    <w:p w:rsidR="00AF78E4" w:rsidRDefault="00A01283" w:rsidP="00A01283">
      <w:pPr>
        <w:pStyle w:val="ListParagraph"/>
        <w:numPr>
          <w:ilvl w:val="1"/>
          <w:numId w:val="19"/>
        </w:numPr>
        <w:spacing w:after="205" w:line="269" w:lineRule="auto"/>
      </w:pPr>
      <w:r>
        <w:t xml:space="preserve">The TCP is signed by </w:t>
      </w:r>
      <w:r w:rsidR="00FE1F33">
        <w:t xml:space="preserve">the </w:t>
      </w:r>
      <w:r>
        <w:t xml:space="preserve">PI and </w:t>
      </w:r>
      <w:r w:rsidR="00AF78E4">
        <w:t>returned to ORSP for review by Compliance Officer</w:t>
      </w:r>
    </w:p>
    <w:p w:rsidR="00A01283" w:rsidRDefault="00AF78E4" w:rsidP="00A01283">
      <w:pPr>
        <w:pStyle w:val="ListParagraph"/>
        <w:numPr>
          <w:ilvl w:val="1"/>
          <w:numId w:val="19"/>
        </w:numPr>
        <w:spacing w:after="205" w:line="269" w:lineRule="auto"/>
      </w:pPr>
      <w:r>
        <w:t xml:space="preserve">Once TCP is determined to be sufficient to comply with Export Control protection, TCP </w:t>
      </w:r>
      <w:proofErr w:type="gramStart"/>
      <w:r>
        <w:t xml:space="preserve">is </w:t>
      </w:r>
      <w:r w:rsidR="00A01283">
        <w:t>filed</w:t>
      </w:r>
      <w:proofErr w:type="gramEnd"/>
      <w:r w:rsidR="00A01283">
        <w:t xml:space="preserve"> with project information.</w:t>
      </w:r>
    </w:p>
    <w:p w:rsidR="00AF78E4" w:rsidRDefault="00F14249" w:rsidP="00F14249">
      <w:pPr>
        <w:pStyle w:val="ListParagraph"/>
        <w:numPr>
          <w:ilvl w:val="1"/>
          <w:numId w:val="19"/>
        </w:numPr>
        <w:spacing w:after="205" w:line="269" w:lineRule="auto"/>
      </w:pPr>
      <w:r>
        <w:t>On an annual basis, RA will check with PI ref. changes that may require an updated TCP</w:t>
      </w:r>
    </w:p>
    <w:p w:rsidR="00F14249" w:rsidRDefault="009246F1" w:rsidP="00F14249">
      <w:pPr>
        <w:pStyle w:val="ListParagraph"/>
        <w:numPr>
          <w:ilvl w:val="1"/>
          <w:numId w:val="19"/>
        </w:numPr>
        <w:spacing w:after="205" w:line="269" w:lineRule="auto"/>
      </w:pPr>
      <w:r>
        <w:t>The PI will be deferred to the</w:t>
      </w:r>
      <w:r w:rsidR="00276607">
        <w:t xml:space="preserve"> Institutional Export Control Officer for </w:t>
      </w:r>
      <w:r w:rsidR="00F14249">
        <w:t>the following:</w:t>
      </w:r>
    </w:p>
    <w:p w:rsidR="00F14249" w:rsidRDefault="00F14249" w:rsidP="00F14249">
      <w:pPr>
        <w:pStyle w:val="ListParagraph"/>
        <w:numPr>
          <w:ilvl w:val="0"/>
          <w:numId w:val="20"/>
        </w:numPr>
        <w:spacing w:after="205" w:line="269" w:lineRule="auto"/>
      </w:pPr>
      <w:r>
        <w:t xml:space="preserve">If an export control </w:t>
      </w:r>
      <w:r w:rsidR="009246F1">
        <w:t>licens</w:t>
      </w:r>
      <w:r>
        <w:t>e is required/requested</w:t>
      </w:r>
    </w:p>
    <w:p w:rsidR="009246F1" w:rsidRDefault="00F14249" w:rsidP="00F14249">
      <w:pPr>
        <w:pStyle w:val="ListParagraph"/>
        <w:numPr>
          <w:ilvl w:val="0"/>
          <w:numId w:val="20"/>
        </w:numPr>
        <w:spacing w:after="205" w:line="269" w:lineRule="auto"/>
      </w:pPr>
      <w:r>
        <w:t>non-compliance</w:t>
      </w:r>
      <w:r w:rsidR="00BD2208">
        <w:t xml:space="preserve"> </w:t>
      </w:r>
    </w:p>
    <w:p w:rsidR="00A01283" w:rsidRDefault="00A01283" w:rsidP="00A01283">
      <w:pPr>
        <w:ind w:left="10" w:hanging="10"/>
      </w:pPr>
      <w:r>
        <w:t xml:space="preserve">No work can begin or an account set up under an </w:t>
      </w:r>
      <w:proofErr w:type="gramStart"/>
      <w:r>
        <w:t>export controlled</w:t>
      </w:r>
      <w:proofErr w:type="gramEnd"/>
      <w:r>
        <w:t xml:space="preserve"> award or proposed award until a TCP is in place and/or any required export control license has been </w:t>
      </w:r>
      <w:r w:rsidR="008C0FE5">
        <w:t xml:space="preserve">applied for and </w:t>
      </w:r>
      <w:r>
        <w:t>issued.</w:t>
      </w:r>
    </w:p>
    <w:p w:rsidR="00A01283" w:rsidRDefault="00A01283" w:rsidP="00A01283">
      <w:r w:rsidRPr="00A64997">
        <w:t>After the determination deems a project applicable to Export Control and other applicable restriction</w:t>
      </w:r>
      <w:r w:rsidR="008C0FE5" w:rsidRPr="00A64997">
        <w:t>s</w:t>
      </w:r>
      <w:r w:rsidRPr="00A64997">
        <w:t>, the RA will mark the project Notice of Award (NOA) as “R” for restricted and identifies the restriction for Export Control</w:t>
      </w:r>
      <w:r w:rsidR="005F285B" w:rsidRPr="00A64997">
        <w:t xml:space="preserve"> as “Applicable”.</w:t>
      </w:r>
      <w:r w:rsidR="00A0670E">
        <w:t xml:space="preserve"> </w:t>
      </w:r>
    </w:p>
    <w:p w:rsidR="00A01283" w:rsidRDefault="00A01283" w:rsidP="00A01283">
      <w:r>
        <w:t xml:space="preserve">The NOA </w:t>
      </w:r>
      <w:proofErr w:type="gramStart"/>
      <w:r>
        <w:t>is submitted</w:t>
      </w:r>
      <w:proofErr w:type="gramEnd"/>
      <w:r>
        <w:t xml:space="preserve"> to C&amp;G for project setup in </w:t>
      </w:r>
      <w:proofErr w:type="spellStart"/>
      <w:r>
        <w:t>Peoplesoft</w:t>
      </w:r>
      <w:proofErr w:type="spellEnd"/>
      <w:r>
        <w:t>, where the accountant will mark the project identification number with the “R” for restricted, and tags</w:t>
      </w:r>
      <w:r w:rsidR="00A0670E">
        <w:t xml:space="preserve">/applies the key word </w:t>
      </w:r>
      <w:r>
        <w:t xml:space="preserve">in </w:t>
      </w:r>
      <w:proofErr w:type="spellStart"/>
      <w:r>
        <w:t>Peoplesoft</w:t>
      </w:r>
      <w:proofErr w:type="spellEnd"/>
      <w:r>
        <w:t xml:space="preserve"> for “Export Control”.  This tag will provide report/</w:t>
      </w:r>
      <w:proofErr w:type="gramStart"/>
      <w:r>
        <w:t xml:space="preserve">information </w:t>
      </w:r>
      <w:r w:rsidR="00A0670E">
        <w:t>which</w:t>
      </w:r>
      <w:proofErr w:type="gramEnd"/>
      <w:r w:rsidR="00A0670E">
        <w:t xml:space="preserve"> </w:t>
      </w:r>
      <w:r>
        <w:t>will identify the trainees to receive Export Contr</w:t>
      </w:r>
      <w:r w:rsidR="00D55950">
        <w:t xml:space="preserve">ol training opportunities. </w:t>
      </w:r>
    </w:p>
    <w:p w:rsidR="00A01283" w:rsidRDefault="00A01283" w:rsidP="00A01283">
      <w:pPr>
        <w:rPr>
          <w:rFonts w:eastAsia="Perpetua" w:cs="Segoe UI"/>
        </w:rPr>
      </w:pPr>
      <w:r>
        <w:t xml:space="preserve">Once a NOA </w:t>
      </w:r>
      <w:proofErr w:type="gramStart"/>
      <w:r>
        <w:t>is released</w:t>
      </w:r>
      <w:proofErr w:type="gramEnd"/>
      <w:r>
        <w:t xml:space="preserve"> to the PI, PI and project participants (trainees) will be notified via email </w:t>
      </w:r>
      <w:r w:rsidR="00781234">
        <w:t xml:space="preserve">(See Appendix III) </w:t>
      </w:r>
      <w:r>
        <w:t>providing instructions to the CITI training site for Export Control</w:t>
      </w:r>
      <w:r w:rsidR="00781234">
        <w:t xml:space="preserve"> (See Appendix IV)</w:t>
      </w:r>
      <w:r>
        <w:t xml:space="preserve">.  A friendly reminder </w:t>
      </w:r>
      <w:proofErr w:type="gramStart"/>
      <w:r>
        <w:t>will be sent</w:t>
      </w:r>
      <w:proofErr w:type="gramEnd"/>
      <w:r>
        <w:t xml:space="preserve"> within 30 days after initial notice.  ORSP’</w:t>
      </w:r>
      <w:r w:rsidRPr="001F37B8">
        <w:rPr>
          <w:rFonts w:eastAsia="Perpetua" w:cs="Segoe UI"/>
        </w:rPr>
        <w:t xml:space="preserve">s policy is that Export Control training is </w:t>
      </w:r>
      <w:r>
        <w:rPr>
          <w:rFonts w:eastAsia="Perpetua" w:cs="Segoe UI"/>
        </w:rPr>
        <w:t xml:space="preserve">not mandatory, however highly encouraged </w:t>
      </w:r>
      <w:r w:rsidRPr="001F37B8">
        <w:rPr>
          <w:rFonts w:eastAsia="Perpetua" w:cs="Segoe UI"/>
        </w:rPr>
        <w:t>for students, faculty/researchers and support staff that are involved with sponsored projects</w:t>
      </w:r>
      <w:r>
        <w:rPr>
          <w:rFonts w:eastAsia="Perpetua" w:cs="Segoe UI"/>
        </w:rPr>
        <w:t xml:space="preserve"> subject to Export Control.</w:t>
      </w:r>
    </w:p>
    <w:p w:rsidR="001D5382" w:rsidRDefault="001D5382">
      <w:pPr>
        <w:rPr>
          <w:rFonts w:eastAsia="Perpetua" w:cs="Segoe UI"/>
        </w:rPr>
      </w:pPr>
      <w:r>
        <w:rPr>
          <w:rFonts w:eastAsia="Perpetua" w:cs="Segoe UI"/>
        </w:rPr>
        <w:t>Faculty/researchers are encouraged to contact their research administrator with any inquiries or concerns regarding export control.  Research Administrators will be the first point of contact on any sponsored project.</w:t>
      </w:r>
    </w:p>
    <w:p w:rsidR="001D5382" w:rsidRDefault="001D5382">
      <w:pPr>
        <w:rPr>
          <w:rFonts w:eastAsia="Perpetua" w:cs="Segoe UI"/>
        </w:rPr>
      </w:pPr>
      <w:r>
        <w:rPr>
          <w:rFonts w:eastAsia="Perpetua" w:cs="Segoe UI"/>
        </w:rPr>
        <w:t>*Any foreign sponsor will go through Visual Compliance (UT System Shared Software Application) as the first step in the review p</w:t>
      </w:r>
      <w:r w:rsidR="00A0670E">
        <w:rPr>
          <w:rFonts w:eastAsia="Perpetua" w:cs="Segoe UI"/>
        </w:rPr>
        <w:t xml:space="preserve">rocess of contract negotiations, including authorizations for personal services (APS) requests, specifically those with international entities. </w:t>
      </w:r>
      <w:r>
        <w:rPr>
          <w:rFonts w:eastAsia="Perpetua" w:cs="Segoe UI"/>
        </w:rPr>
        <w:t xml:space="preserve">  </w:t>
      </w:r>
    </w:p>
    <w:p w:rsidR="003C27EE" w:rsidRDefault="003C27EE">
      <w:pPr>
        <w:rPr>
          <w:rFonts w:eastAsia="Perpetua" w:cs="Segoe UI"/>
          <w:b/>
        </w:rPr>
      </w:pPr>
      <w:r>
        <w:rPr>
          <w:rFonts w:eastAsia="Perpetua" w:cs="Segoe UI"/>
          <w:b/>
        </w:rPr>
        <w:br w:type="page"/>
      </w:r>
    </w:p>
    <w:p w:rsidR="001D5382" w:rsidRPr="00A64997" w:rsidRDefault="003C27EE">
      <w:pPr>
        <w:rPr>
          <w:rFonts w:eastAsia="Perpetua" w:cs="Segoe UI"/>
          <w:b/>
        </w:rPr>
      </w:pPr>
      <w:r>
        <w:rPr>
          <w:rFonts w:eastAsia="Perpetua" w:cs="Segoe UI"/>
          <w:b/>
        </w:rPr>
        <w:lastRenderedPageBreak/>
        <w:br/>
      </w:r>
      <w:r w:rsidR="001D5382" w:rsidRPr="00A64997">
        <w:rPr>
          <w:rFonts w:eastAsia="Perpetua" w:cs="Segoe UI"/>
          <w:b/>
        </w:rPr>
        <w:t>Resource</w:t>
      </w:r>
      <w:r w:rsidR="00A64997" w:rsidRPr="00A64997">
        <w:rPr>
          <w:rFonts w:eastAsia="Perpetua" w:cs="Segoe UI"/>
          <w:b/>
        </w:rPr>
        <w:t>s</w:t>
      </w:r>
      <w:r w:rsidR="001D5382" w:rsidRPr="00A64997">
        <w:rPr>
          <w:rFonts w:eastAsia="Perpetua" w:cs="Segoe UI"/>
          <w:b/>
        </w:rPr>
        <w:t xml:space="preserve">: </w:t>
      </w:r>
    </w:p>
    <w:p w:rsidR="008443C4" w:rsidRDefault="001D5382" w:rsidP="008443C4">
      <w:r>
        <w:rPr>
          <w:rFonts w:eastAsia="Perpetua" w:cs="Segoe UI"/>
        </w:rPr>
        <w:t>Institutional Compliance Policy:</w:t>
      </w:r>
      <w:r w:rsidR="008443C4">
        <w:rPr>
          <w:rFonts w:eastAsia="Perpetua" w:cs="Segoe UI"/>
        </w:rPr>
        <w:t xml:space="preserve"> </w:t>
      </w:r>
      <w:hyperlink r:id="rId8" w:history="1">
        <w:r w:rsidR="008443C4">
          <w:rPr>
            <w:rStyle w:val="Hyperlink"/>
            <w:color w:val="0000FF"/>
          </w:rPr>
          <w:t>https://www.utep.edu/vpba/hoop/section-10/index.html</w:t>
        </w:r>
      </w:hyperlink>
    </w:p>
    <w:p w:rsidR="008443C4" w:rsidRDefault="00A0670E" w:rsidP="008443C4">
      <w:r>
        <w:t>ORSP Export Control Policy: TBD</w:t>
      </w:r>
    </w:p>
    <w:p w:rsidR="00781234" w:rsidRDefault="00781234" w:rsidP="008443C4">
      <w:r>
        <w:t>Appendix I: Export Control Review Form</w:t>
      </w:r>
    </w:p>
    <w:p w:rsidR="00781234" w:rsidRDefault="00781234" w:rsidP="008443C4">
      <w:r>
        <w:t>Appendix II: Technology Control Plan Template</w:t>
      </w:r>
    </w:p>
    <w:p w:rsidR="00781234" w:rsidRDefault="00781234" w:rsidP="008443C4">
      <w:r>
        <w:t xml:space="preserve">Appendix III: Notification Templates </w:t>
      </w:r>
    </w:p>
    <w:p w:rsidR="00781234" w:rsidRDefault="00781234" w:rsidP="008443C4">
      <w:r>
        <w:t xml:space="preserve">Appendix IV: </w:t>
      </w:r>
      <w:r w:rsidR="003C27EE">
        <w:t xml:space="preserve">EC </w:t>
      </w:r>
      <w:r>
        <w:t>CITI</w:t>
      </w:r>
      <w:r w:rsidR="003C27EE">
        <w:t xml:space="preserve"> Registration Instructions step-by-step</w:t>
      </w:r>
      <w:bookmarkStart w:id="4" w:name="_GoBack"/>
      <w:bookmarkEnd w:id="4"/>
      <w:r>
        <w:t xml:space="preserve"> </w:t>
      </w:r>
    </w:p>
    <w:p w:rsidR="00CF0CDC" w:rsidRDefault="00CF0CDC" w:rsidP="008443C4">
      <w:pPr>
        <w:rPr>
          <w:rFonts w:ascii="Calibri" w:hAnsi="Calibri"/>
          <w:color w:val="1F497D"/>
        </w:rPr>
      </w:pPr>
      <w:r>
        <w:t>Appendix V: Frequently Asked Questions</w:t>
      </w:r>
    </w:p>
    <w:p w:rsidR="00781234" w:rsidRPr="00781234" w:rsidRDefault="00781234" w:rsidP="008443C4">
      <w:pPr>
        <w:rPr>
          <w:rFonts w:ascii="Franklin Gothic Medium" w:eastAsiaTheme="majorEastAsia" w:hAnsi="Franklin Gothic Medium" w:cstheme="majorBidi"/>
          <w:b/>
          <w:bCs/>
          <w:color w:val="365F91" w:themeColor="accent1" w:themeShade="BF"/>
          <w:sz w:val="26"/>
          <w:szCs w:val="26"/>
        </w:rPr>
      </w:pPr>
    </w:p>
    <w:sectPr w:rsidR="00781234" w:rsidRPr="00781234" w:rsidSect="000970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83" w:rsidRDefault="00CD7283" w:rsidP="00CD7283">
      <w:pPr>
        <w:spacing w:after="0" w:line="240" w:lineRule="auto"/>
      </w:pPr>
      <w:r>
        <w:separator/>
      </w:r>
    </w:p>
  </w:endnote>
  <w:endnote w:type="continuationSeparator" w:id="0">
    <w:p w:rsidR="00CD7283" w:rsidRDefault="00CD7283" w:rsidP="00CD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4C" w:rsidRDefault="005F0A4C">
    <w:pPr>
      <w:pStyle w:val="Footer"/>
    </w:pPr>
    <w:r>
      <w:t>ORSP</w:t>
    </w:r>
  </w:p>
  <w:p w:rsidR="00CD7283" w:rsidRDefault="005F0A4C">
    <w:pPr>
      <w:pStyle w:val="Footer"/>
    </w:pPr>
    <w:r>
      <w:t xml:space="preserve">MD:  </w:t>
    </w:r>
    <w:r w:rsidR="00CD7283">
      <w:t>08/28/2019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83" w:rsidRDefault="00CD7283" w:rsidP="00CD7283">
      <w:pPr>
        <w:spacing w:after="0" w:line="240" w:lineRule="auto"/>
      </w:pPr>
      <w:r>
        <w:separator/>
      </w:r>
    </w:p>
  </w:footnote>
  <w:footnote w:type="continuationSeparator" w:id="0">
    <w:p w:rsidR="00CD7283" w:rsidRDefault="00CD7283" w:rsidP="00CD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4C" w:rsidRPr="005F0A4C" w:rsidRDefault="005F0A4C" w:rsidP="005F0A4C">
    <w:pPr>
      <w:jc w:val="center"/>
      <w:rPr>
        <w:rFonts w:ascii="Franklin Gothic Demi Cond" w:hAnsi="Franklin Gothic Demi Cond"/>
        <w:color w:val="365F91" w:themeColor="accent1" w:themeShade="BF"/>
        <w:sz w:val="28"/>
        <w:szCs w:val="28"/>
      </w:rPr>
    </w:pPr>
    <w:r w:rsidRPr="005F0A4C">
      <w:rPr>
        <w:rFonts w:ascii="Franklin Gothic Demi Cond" w:hAnsi="Franklin Gothic Demi Cond"/>
        <w:color w:val="365F91" w:themeColor="accent1" w:themeShade="BF"/>
        <w:sz w:val="28"/>
        <w:szCs w:val="28"/>
      </w:rPr>
      <w:t>Export Control Process Guide</w:t>
    </w:r>
  </w:p>
  <w:p w:rsidR="005F0A4C" w:rsidRDefault="005F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320"/>
    <w:multiLevelType w:val="hybridMultilevel"/>
    <w:tmpl w:val="1A80ECCA"/>
    <w:lvl w:ilvl="0" w:tplc="0A60743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F7251"/>
    <w:multiLevelType w:val="hybridMultilevel"/>
    <w:tmpl w:val="B3DA6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B7B"/>
    <w:multiLevelType w:val="hybridMultilevel"/>
    <w:tmpl w:val="D70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7FE1"/>
    <w:multiLevelType w:val="hybridMultilevel"/>
    <w:tmpl w:val="507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C5"/>
    <w:multiLevelType w:val="hybridMultilevel"/>
    <w:tmpl w:val="C20C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F7114"/>
    <w:multiLevelType w:val="hybridMultilevel"/>
    <w:tmpl w:val="DDC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771D7"/>
    <w:multiLevelType w:val="hybridMultilevel"/>
    <w:tmpl w:val="2B1A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A12"/>
    <w:multiLevelType w:val="hybridMultilevel"/>
    <w:tmpl w:val="C3344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60A1C"/>
    <w:multiLevelType w:val="hybridMultilevel"/>
    <w:tmpl w:val="3916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D1AA8"/>
    <w:multiLevelType w:val="hybridMultilevel"/>
    <w:tmpl w:val="D90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C3798"/>
    <w:multiLevelType w:val="hybridMultilevel"/>
    <w:tmpl w:val="DDD4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44490"/>
    <w:multiLevelType w:val="hybridMultilevel"/>
    <w:tmpl w:val="F26C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97AB5"/>
    <w:multiLevelType w:val="hybridMultilevel"/>
    <w:tmpl w:val="F0F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A4341"/>
    <w:multiLevelType w:val="hybridMultilevel"/>
    <w:tmpl w:val="C72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E0830"/>
    <w:multiLevelType w:val="hybridMultilevel"/>
    <w:tmpl w:val="E5F23BE0"/>
    <w:lvl w:ilvl="0" w:tplc="C054FB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2039E6"/>
    <w:multiLevelType w:val="hybridMultilevel"/>
    <w:tmpl w:val="C69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B4534"/>
    <w:multiLevelType w:val="hybridMultilevel"/>
    <w:tmpl w:val="39AC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13A5C"/>
    <w:multiLevelType w:val="hybridMultilevel"/>
    <w:tmpl w:val="2C5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47CE4"/>
    <w:multiLevelType w:val="hybridMultilevel"/>
    <w:tmpl w:val="23F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30DFD"/>
    <w:multiLevelType w:val="hybridMultilevel"/>
    <w:tmpl w:val="D90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2"/>
  </w:num>
  <w:num w:numId="5">
    <w:abstractNumId w:val="18"/>
  </w:num>
  <w:num w:numId="6">
    <w:abstractNumId w:val="8"/>
  </w:num>
  <w:num w:numId="7">
    <w:abstractNumId w:val="4"/>
  </w:num>
  <w:num w:numId="8">
    <w:abstractNumId w:val="19"/>
  </w:num>
  <w:num w:numId="9">
    <w:abstractNumId w:val="9"/>
  </w:num>
  <w:num w:numId="10">
    <w:abstractNumId w:val="15"/>
  </w:num>
  <w:num w:numId="11">
    <w:abstractNumId w:val="13"/>
  </w:num>
  <w:num w:numId="12">
    <w:abstractNumId w:val="1"/>
  </w:num>
  <w:num w:numId="13">
    <w:abstractNumId w:val="5"/>
  </w:num>
  <w:num w:numId="14">
    <w:abstractNumId w:val="11"/>
  </w:num>
  <w:num w:numId="15">
    <w:abstractNumId w:val="16"/>
  </w:num>
  <w:num w:numId="16">
    <w:abstractNumId w:val="6"/>
  </w:num>
  <w:num w:numId="17">
    <w:abstractNumId w:val="10"/>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88"/>
    <w:rsid w:val="000833D0"/>
    <w:rsid w:val="00084AC5"/>
    <w:rsid w:val="000970C1"/>
    <w:rsid w:val="000A0FA7"/>
    <w:rsid w:val="000D7CB3"/>
    <w:rsid w:val="000E026D"/>
    <w:rsid w:val="00106878"/>
    <w:rsid w:val="0016459E"/>
    <w:rsid w:val="00183050"/>
    <w:rsid w:val="001C5506"/>
    <w:rsid w:val="001D5382"/>
    <w:rsid w:val="001D6C2B"/>
    <w:rsid w:val="001F6694"/>
    <w:rsid w:val="00276607"/>
    <w:rsid w:val="00307B32"/>
    <w:rsid w:val="00315585"/>
    <w:rsid w:val="003559F8"/>
    <w:rsid w:val="0039284F"/>
    <w:rsid w:val="003C0A75"/>
    <w:rsid w:val="003C27EE"/>
    <w:rsid w:val="003C67F4"/>
    <w:rsid w:val="003D2476"/>
    <w:rsid w:val="003E46AC"/>
    <w:rsid w:val="00417519"/>
    <w:rsid w:val="00423F0F"/>
    <w:rsid w:val="004276FB"/>
    <w:rsid w:val="00427D52"/>
    <w:rsid w:val="00436C1C"/>
    <w:rsid w:val="00450589"/>
    <w:rsid w:val="004B164D"/>
    <w:rsid w:val="004B531B"/>
    <w:rsid w:val="00513124"/>
    <w:rsid w:val="00536499"/>
    <w:rsid w:val="00562A21"/>
    <w:rsid w:val="005658D9"/>
    <w:rsid w:val="0058369C"/>
    <w:rsid w:val="005D08EE"/>
    <w:rsid w:val="005D39C4"/>
    <w:rsid w:val="005D42F5"/>
    <w:rsid w:val="005F0A4C"/>
    <w:rsid w:val="005F285B"/>
    <w:rsid w:val="00615755"/>
    <w:rsid w:val="006E5202"/>
    <w:rsid w:val="00781234"/>
    <w:rsid w:val="007B46C7"/>
    <w:rsid w:val="007E7DAC"/>
    <w:rsid w:val="007F3911"/>
    <w:rsid w:val="00815D98"/>
    <w:rsid w:val="00817F88"/>
    <w:rsid w:val="00843993"/>
    <w:rsid w:val="008443C4"/>
    <w:rsid w:val="00877B1C"/>
    <w:rsid w:val="008C0FE5"/>
    <w:rsid w:val="008F7E37"/>
    <w:rsid w:val="009246F1"/>
    <w:rsid w:val="00925A5B"/>
    <w:rsid w:val="00967128"/>
    <w:rsid w:val="009766EF"/>
    <w:rsid w:val="0099003A"/>
    <w:rsid w:val="009C0642"/>
    <w:rsid w:val="009C5430"/>
    <w:rsid w:val="009D6B52"/>
    <w:rsid w:val="00A01283"/>
    <w:rsid w:val="00A0670E"/>
    <w:rsid w:val="00A241B1"/>
    <w:rsid w:val="00A64997"/>
    <w:rsid w:val="00AA2FB0"/>
    <w:rsid w:val="00AC69FA"/>
    <w:rsid w:val="00AD49EC"/>
    <w:rsid w:val="00AF78E4"/>
    <w:rsid w:val="00B25766"/>
    <w:rsid w:val="00B32D8E"/>
    <w:rsid w:val="00B40D89"/>
    <w:rsid w:val="00B4342A"/>
    <w:rsid w:val="00B74327"/>
    <w:rsid w:val="00BB1880"/>
    <w:rsid w:val="00BC02D9"/>
    <w:rsid w:val="00BD2208"/>
    <w:rsid w:val="00C204F6"/>
    <w:rsid w:val="00C222BE"/>
    <w:rsid w:val="00C9779B"/>
    <w:rsid w:val="00CD7283"/>
    <w:rsid w:val="00CE40F8"/>
    <w:rsid w:val="00CF0CDC"/>
    <w:rsid w:val="00D20F13"/>
    <w:rsid w:val="00D35E78"/>
    <w:rsid w:val="00D45ED3"/>
    <w:rsid w:val="00D55950"/>
    <w:rsid w:val="00DA450B"/>
    <w:rsid w:val="00DC4494"/>
    <w:rsid w:val="00DD28E8"/>
    <w:rsid w:val="00DF4FF2"/>
    <w:rsid w:val="00E156E2"/>
    <w:rsid w:val="00E1743E"/>
    <w:rsid w:val="00E40205"/>
    <w:rsid w:val="00EE5AA8"/>
    <w:rsid w:val="00F02B87"/>
    <w:rsid w:val="00F14249"/>
    <w:rsid w:val="00F33AA8"/>
    <w:rsid w:val="00F526A6"/>
    <w:rsid w:val="00F861AE"/>
    <w:rsid w:val="00FB1668"/>
    <w:rsid w:val="00FE1F33"/>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BD52"/>
  <w15:docId w15:val="{B09C9B0B-9FAD-484D-A059-C5D86EB2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6D"/>
    <w:rPr>
      <w:rFonts w:ascii="Franklin Gothic Book" w:hAnsi="Franklin Gothic Book"/>
    </w:rPr>
  </w:style>
  <w:style w:type="paragraph" w:styleId="Heading1">
    <w:name w:val="heading 1"/>
    <w:basedOn w:val="Normal"/>
    <w:next w:val="Normal"/>
    <w:link w:val="Heading1Char"/>
    <w:uiPriority w:val="9"/>
    <w:qFormat/>
    <w:rsid w:val="000E0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26D"/>
    <w:pPr>
      <w:keepNext/>
      <w:keepLines/>
      <w:spacing w:before="200" w:after="0"/>
      <w:outlineLvl w:val="1"/>
    </w:pPr>
    <w:rPr>
      <w:rFonts w:ascii="Franklin Gothic Medium" w:eastAsiaTheme="majorEastAsia" w:hAnsi="Franklin Gothic Medium"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658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4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26D"/>
    <w:pPr>
      <w:pBdr>
        <w:bottom w:val="single" w:sz="8" w:space="4" w:color="4F81BD" w:themeColor="accent1"/>
      </w:pBdr>
      <w:spacing w:after="300" w:line="240" w:lineRule="auto"/>
      <w:contextualSpacing/>
    </w:pPr>
    <w:rPr>
      <w:rFonts w:ascii="Franklin Gothic Demi" w:eastAsiaTheme="majorEastAsia" w:hAnsi="Franklin Gothic Dem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26D"/>
    <w:rPr>
      <w:rFonts w:ascii="Franklin Gothic Demi" w:eastAsiaTheme="majorEastAsia" w:hAnsi="Franklin Gothic Dem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026D"/>
    <w:rPr>
      <w:rFonts w:ascii="Franklin Gothic Medium" w:eastAsiaTheme="majorEastAsia" w:hAnsi="Franklin Gothic Medium" w:cstheme="majorBidi"/>
      <w:b/>
      <w:bCs/>
      <w:color w:val="365F91" w:themeColor="accent1" w:themeShade="BF"/>
      <w:sz w:val="26"/>
      <w:szCs w:val="26"/>
    </w:rPr>
  </w:style>
  <w:style w:type="paragraph" w:styleId="NoSpacing">
    <w:name w:val="No Spacing"/>
    <w:basedOn w:val="Normal"/>
    <w:uiPriority w:val="1"/>
    <w:qFormat/>
    <w:rsid w:val="00EE5AA8"/>
    <w:rPr>
      <w:rFonts w:cs="Segoe UI"/>
    </w:rPr>
  </w:style>
  <w:style w:type="paragraph" w:styleId="BalloonText">
    <w:name w:val="Balloon Text"/>
    <w:basedOn w:val="Normal"/>
    <w:link w:val="BalloonTextChar"/>
    <w:uiPriority w:val="99"/>
    <w:semiHidden/>
    <w:unhideWhenUsed/>
    <w:rsid w:val="00E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3E"/>
    <w:rPr>
      <w:rFonts w:ascii="Tahoma" w:hAnsi="Tahoma" w:cs="Tahoma"/>
      <w:sz w:val="16"/>
      <w:szCs w:val="16"/>
    </w:rPr>
  </w:style>
  <w:style w:type="character" w:styleId="Hyperlink">
    <w:name w:val="Hyperlink"/>
    <w:basedOn w:val="DefaultParagraphFont"/>
    <w:uiPriority w:val="99"/>
    <w:unhideWhenUsed/>
    <w:rsid w:val="00CE40F8"/>
    <w:rPr>
      <w:color w:val="0000FF" w:themeColor="hyperlink"/>
      <w:u w:val="single"/>
    </w:rPr>
  </w:style>
  <w:style w:type="character" w:customStyle="1" w:styleId="Heading3Char">
    <w:name w:val="Heading 3 Char"/>
    <w:basedOn w:val="DefaultParagraphFont"/>
    <w:link w:val="Heading3"/>
    <w:uiPriority w:val="9"/>
    <w:rsid w:val="005658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2D8E"/>
    <w:pPr>
      <w:ind w:left="720"/>
      <w:contextualSpacing/>
    </w:pPr>
  </w:style>
  <w:style w:type="character" w:customStyle="1" w:styleId="Heading1Char">
    <w:name w:val="Heading 1 Char"/>
    <w:basedOn w:val="DefaultParagraphFont"/>
    <w:link w:val="Heading1"/>
    <w:uiPriority w:val="9"/>
    <w:rsid w:val="000E02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5AA8"/>
    <w:pPr>
      <w:outlineLvl w:val="9"/>
    </w:pPr>
  </w:style>
  <w:style w:type="paragraph" w:styleId="TOC2">
    <w:name w:val="toc 2"/>
    <w:basedOn w:val="Normal"/>
    <w:next w:val="Normal"/>
    <w:autoRedefine/>
    <w:uiPriority w:val="39"/>
    <w:unhideWhenUsed/>
    <w:rsid w:val="00EE5AA8"/>
    <w:pPr>
      <w:spacing w:after="100"/>
      <w:ind w:left="220"/>
    </w:pPr>
  </w:style>
  <w:style w:type="paragraph" w:styleId="TOC3">
    <w:name w:val="toc 3"/>
    <w:basedOn w:val="Normal"/>
    <w:next w:val="Normal"/>
    <w:autoRedefine/>
    <w:uiPriority w:val="39"/>
    <w:unhideWhenUsed/>
    <w:rsid w:val="00EE5AA8"/>
    <w:pPr>
      <w:spacing w:after="100"/>
      <w:ind w:left="440"/>
    </w:pPr>
  </w:style>
  <w:style w:type="character" w:customStyle="1" w:styleId="Heading4Char">
    <w:name w:val="Heading 4 Char"/>
    <w:basedOn w:val="DefaultParagraphFont"/>
    <w:link w:val="Heading4"/>
    <w:uiPriority w:val="9"/>
    <w:rsid w:val="00DF4FF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83"/>
    <w:rPr>
      <w:rFonts w:ascii="Franklin Gothic Book" w:hAnsi="Franklin Gothic Book"/>
    </w:rPr>
  </w:style>
  <w:style w:type="paragraph" w:styleId="Footer">
    <w:name w:val="footer"/>
    <w:basedOn w:val="Normal"/>
    <w:link w:val="FooterChar"/>
    <w:uiPriority w:val="99"/>
    <w:unhideWhenUsed/>
    <w:rsid w:val="00CD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83"/>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089">
      <w:bodyDiv w:val="1"/>
      <w:marLeft w:val="0"/>
      <w:marRight w:val="0"/>
      <w:marTop w:val="0"/>
      <w:marBottom w:val="0"/>
      <w:divBdr>
        <w:top w:val="none" w:sz="0" w:space="0" w:color="auto"/>
        <w:left w:val="none" w:sz="0" w:space="0" w:color="auto"/>
        <w:bottom w:val="none" w:sz="0" w:space="0" w:color="auto"/>
        <w:right w:val="none" w:sz="0" w:space="0" w:color="auto"/>
      </w:divBdr>
    </w:div>
    <w:div w:id="290981749">
      <w:bodyDiv w:val="1"/>
      <w:marLeft w:val="0"/>
      <w:marRight w:val="0"/>
      <w:marTop w:val="0"/>
      <w:marBottom w:val="0"/>
      <w:divBdr>
        <w:top w:val="none" w:sz="0" w:space="0" w:color="auto"/>
        <w:left w:val="none" w:sz="0" w:space="0" w:color="auto"/>
        <w:bottom w:val="none" w:sz="0" w:space="0" w:color="auto"/>
        <w:right w:val="none" w:sz="0" w:space="0" w:color="auto"/>
      </w:divBdr>
    </w:div>
    <w:div w:id="762409915">
      <w:bodyDiv w:val="1"/>
      <w:marLeft w:val="0"/>
      <w:marRight w:val="0"/>
      <w:marTop w:val="0"/>
      <w:marBottom w:val="0"/>
      <w:divBdr>
        <w:top w:val="none" w:sz="0" w:space="0" w:color="auto"/>
        <w:left w:val="none" w:sz="0" w:space="0" w:color="auto"/>
        <w:bottom w:val="none" w:sz="0" w:space="0" w:color="auto"/>
        <w:right w:val="none" w:sz="0" w:space="0" w:color="auto"/>
      </w:divBdr>
    </w:div>
    <w:div w:id="1755591153">
      <w:bodyDiv w:val="1"/>
      <w:marLeft w:val="0"/>
      <w:marRight w:val="0"/>
      <w:marTop w:val="0"/>
      <w:marBottom w:val="0"/>
      <w:divBdr>
        <w:top w:val="none" w:sz="0" w:space="0" w:color="auto"/>
        <w:left w:val="none" w:sz="0" w:space="0" w:color="auto"/>
        <w:bottom w:val="none" w:sz="0" w:space="0" w:color="auto"/>
        <w:right w:val="none" w:sz="0" w:space="0" w:color="auto"/>
      </w:divBdr>
    </w:div>
    <w:div w:id="19870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ep.edu/vpba/hoop/section-10/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60A7-AE2B-4F6B-B2D7-F4BD8186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875</Words>
  <Characters>4851</Characters>
  <Application>Microsoft Office Word</Application>
  <DocSecurity>0</DocSecurity>
  <Lines>134</Lines>
  <Paragraphs>46</Paragraphs>
  <ScaleCrop>false</ScaleCrop>
  <HeadingPairs>
    <vt:vector size="2" baseType="variant">
      <vt:variant>
        <vt:lpstr>Title</vt:lpstr>
      </vt:variant>
      <vt:variant>
        <vt:i4>1</vt:i4>
      </vt:variant>
    </vt:vector>
  </HeadingPairs>
  <TitlesOfParts>
    <vt:vector size="1" baseType="lpstr">
      <vt:lpstr/>
    </vt:vector>
  </TitlesOfParts>
  <Company>Utep</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Dokie, Manuela D</cp:lastModifiedBy>
  <cp:revision>12</cp:revision>
  <dcterms:created xsi:type="dcterms:W3CDTF">2019-08-28T19:41:00Z</dcterms:created>
  <dcterms:modified xsi:type="dcterms:W3CDTF">2019-09-04T14:45:00Z</dcterms:modified>
</cp:coreProperties>
</file>