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D9CB" w14:textId="77777777" w:rsidR="00257AE8" w:rsidRPr="00792049" w:rsidRDefault="00257AE8" w:rsidP="00257AE8">
      <w:pPr>
        <w:jc w:val="center"/>
        <w:rPr>
          <w:b/>
        </w:rPr>
      </w:pPr>
      <w:r w:rsidRPr="00792049">
        <w:rPr>
          <w:b/>
        </w:rPr>
        <w:t>Title IV Funding and Certificate Program Eligibility</w:t>
      </w:r>
    </w:p>
    <w:p w14:paraId="32E42E38" w14:textId="77777777" w:rsidR="00257AE8" w:rsidRPr="00792049" w:rsidRDefault="00257AE8" w:rsidP="00257AE8">
      <w:pPr>
        <w:jc w:val="center"/>
        <w:rPr>
          <w:b/>
        </w:rPr>
      </w:pPr>
    </w:p>
    <w:p w14:paraId="76CDDC5A" w14:textId="77777777" w:rsidR="000E1DC8" w:rsidRPr="00792049" w:rsidRDefault="000E1DC8" w:rsidP="000E1DC8">
      <w:r w:rsidRPr="00792049">
        <w:rPr>
          <w:b/>
        </w:rPr>
        <w:t>Eligibility and Credit Hours</w:t>
      </w:r>
      <w:r w:rsidRPr="00792049">
        <w:t>:</w:t>
      </w:r>
    </w:p>
    <w:p w14:paraId="49696F8C" w14:textId="77777777" w:rsidR="000E1DC8" w:rsidRPr="00792049" w:rsidRDefault="000E1DC8" w:rsidP="000E1DC8"/>
    <w:p w14:paraId="6CE91809" w14:textId="7D2AD8D0" w:rsidR="000E1DC8" w:rsidRPr="00792049" w:rsidRDefault="009146B8" w:rsidP="000E1DC8">
      <w:r w:rsidRPr="00792049">
        <w:t>I</w:t>
      </w:r>
      <w:r w:rsidR="000E1DC8" w:rsidRPr="00792049">
        <w:t xml:space="preserve">f we want the </w:t>
      </w:r>
      <w:r w:rsidR="000E1DC8" w:rsidRPr="00792049">
        <w:rPr>
          <w:u w:val="single"/>
        </w:rPr>
        <w:t>certificate itself</w:t>
      </w:r>
      <w:r w:rsidR="000E1DC8" w:rsidRPr="00792049">
        <w:t xml:space="preserve"> to be a program that is eligible for financial aid from the federal government</w:t>
      </w:r>
      <w:r w:rsidR="00074246" w:rsidRPr="00792049">
        <w:t xml:space="preserve"> (so that </w:t>
      </w:r>
      <w:r w:rsidR="00074246" w:rsidRPr="00792049">
        <w:rPr>
          <w:u w:val="single"/>
        </w:rPr>
        <w:t>any</w:t>
      </w:r>
      <w:r w:rsidR="00074246" w:rsidRPr="00792049">
        <w:t xml:space="preserve"> student could </w:t>
      </w:r>
      <w:r w:rsidR="00FF6592" w:rsidRPr="00792049">
        <w:t xml:space="preserve">enroll in </w:t>
      </w:r>
      <w:r w:rsidR="00074246" w:rsidRPr="00792049">
        <w:t xml:space="preserve">it </w:t>
      </w:r>
      <w:r w:rsidRPr="00792049">
        <w:t xml:space="preserve">in addition </w:t>
      </w:r>
      <w:r w:rsidR="00074246" w:rsidRPr="00792049">
        <w:t>to their degree)</w:t>
      </w:r>
      <w:r w:rsidR="000E1DC8" w:rsidRPr="00792049">
        <w:t>, the certificate must meet these parameters:</w:t>
      </w:r>
    </w:p>
    <w:p w14:paraId="454C0ABA" w14:textId="77777777" w:rsidR="000E1DC8" w:rsidRPr="00792049" w:rsidRDefault="000E1DC8" w:rsidP="000E1DC8">
      <w:r w:rsidRPr="00792049">
        <w:t> </w:t>
      </w:r>
    </w:p>
    <w:p w14:paraId="11446C59" w14:textId="77777777" w:rsidR="000E1DC8" w:rsidRPr="00792049" w:rsidRDefault="000E1DC8" w:rsidP="000E1DC8">
      <w:pPr>
        <w:pStyle w:val="ListParagraph"/>
        <w:numPr>
          <w:ilvl w:val="0"/>
          <w:numId w:val="1"/>
        </w:numPr>
      </w:pPr>
      <w:r w:rsidRPr="00792049">
        <w:t>It must take at least one academic year to complete</w:t>
      </w:r>
    </w:p>
    <w:p w14:paraId="08FD3F98" w14:textId="77777777" w:rsidR="00074246" w:rsidRPr="00792049" w:rsidRDefault="000E1DC8" w:rsidP="000E1DC8">
      <w:pPr>
        <w:pStyle w:val="ListParagraph"/>
        <w:numPr>
          <w:ilvl w:val="0"/>
          <w:numId w:val="1"/>
        </w:numPr>
      </w:pPr>
      <w:r w:rsidRPr="00792049">
        <w:t>It must have sufficient credits to allow full time enrollment in both semesters</w:t>
      </w:r>
      <w:r w:rsidR="00074246" w:rsidRPr="00792049">
        <w:t xml:space="preserve"> of that year</w:t>
      </w:r>
      <w:r w:rsidRPr="00792049">
        <w:t xml:space="preserve"> (9+9=18 fo</w:t>
      </w:r>
      <w:r w:rsidR="00074246" w:rsidRPr="00792049">
        <w:t>r Grad; 12+12=24 for undergrad).</w:t>
      </w:r>
    </w:p>
    <w:p w14:paraId="767D529A" w14:textId="242F39B0" w:rsidR="000E1DC8" w:rsidRPr="00792049" w:rsidRDefault="00074246" w:rsidP="000E1DC8">
      <w:pPr>
        <w:pStyle w:val="ListParagraph"/>
        <w:numPr>
          <w:ilvl w:val="0"/>
          <w:numId w:val="1"/>
        </w:numPr>
      </w:pPr>
      <w:r w:rsidRPr="00792049">
        <w:t>For undergrad</w:t>
      </w:r>
      <w:r w:rsidR="009146B8" w:rsidRPr="00792049">
        <w:t>uate</w:t>
      </w:r>
      <w:r w:rsidRPr="00792049">
        <w:t>, it can</w:t>
      </w:r>
      <w:r w:rsidR="000E1DC8" w:rsidRPr="00792049">
        <w:t xml:space="preserve"> be no </w:t>
      </w:r>
      <w:r w:rsidR="009146B8" w:rsidRPr="00792049">
        <w:t xml:space="preserve">greater </w:t>
      </w:r>
      <w:r w:rsidR="000E1DC8" w:rsidRPr="00792049">
        <w:t>than 36 credits.</w:t>
      </w:r>
      <w:r w:rsidRPr="00792049">
        <w:t xml:space="preserve"> For </w:t>
      </w:r>
      <w:r w:rsidR="009146B8" w:rsidRPr="00792049">
        <w:t>g</w:t>
      </w:r>
      <w:r w:rsidRPr="00792049">
        <w:t>rad</w:t>
      </w:r>
      <w:r w:rsidR="009146B8" w:rsidRPr="00792049">
        <w:t>uate</w:t>
      </w:r>
      <w:r w:rsidRPr="00792049">
        <w:t xml:space="preserve">, no </w:t>
      </w:r>
      <w:r w:rsidR="009146B8" w:rsidRPr="00792049">
        <w:t xml:space="preserve">greater </w:t>
      </w:r>
      <w:r w:rsidRPr="00792049">
        <w:t>than 29 credits.</w:t>
      </w:r>
    </w:p>
    <w:p w14:paraId="40D6DA7A" w14:textId="77777777" w:rsidR="000E1DC8" w:rsidRPr="00792049" w:rsidRDefault="000E1DC8" w:rsidP="000E1DC8">
      <w:pPr>
        <w:pStyle w:val="ListParagraph"/>
        <w:numPr>
          <w:ilvl w:val="0"/>
          <w:numId w:val="1"/>
        </w:numPr>
      </w:pPr>
      <w:r w:rsidRPr="00792049">
        <w:t xml:space="preserve">It must be offered in such a way that students could, theoretically, enroll full time each semester, even if that is not the way they usually do it. In other words, courses must be offered often enough and in the appropriate sequence that would make that possible. </w:t>
      </w:r>
    </w:p>
    <w:p w14:paraId="0D884FF7" w14:textId="77777777" w:rsidR="000E1DC8" w:rsidRPr="00792049" w:rsidRDefault="000E1DC8" w:rsidP="000E1DC8">
      <w:r w:rsidRPr="00792049">
        <w:t> </w:t>
      </w:r>
    </w:p>
    <w:p w14:paraId="417081CF" w14:textId="72EB6A81" w:rsidR="000E1DC8" w:rsidRDefault="000E1DC8" w:rsidP="000E1DC8">
      <w:r w:rsidRPr="00792049">
        <w:t xml:space="preserve">I realize these are challenging criteria to meet, given </w:t>
      </w:r>
      <w:r w:rsidR="00D0100A" w:rsidRPr="00792049">
        <w:t xml:space="preserve">the SCH of </w:t>
      </w:r>
      <w:r w:rsidRPr="00792049">
        <w:t>most of our current certificates</w:t>
      </w:r>
    </w:p>
    <w:p w14:paraId="40EBFDC1" w14:textId="173C43FC" w:rsidR="00792049" w:rsidRDefault="00792049" w:rsidP="000E1DC8"/>
    <w:p w14:paraId="3C980261" w14:textId="77777777" w:rsidR="00792049" w:rsidRDefault="00792049" w:rsidP="00792049">
      <w:pPr>
        <w:rPr>
          <w:b/>
        </w:rPr>
      </w:pPr>
      <w:r w:rsidRPr="00792049">
        <w:rPr>
          <w:b/>
        </w:rPr>
        <w:t>Recommendations</w:t>
      </w:r>
      <w:r>
        <w:rPr>
          <w:b/>
        </w:rPr>
        <w:t>:</w:t>
      </w:r>
    </w:p>
    <w:p w14:paraId="0F9810F6" w14:textId="423A1910" w:rsidR="00792049" w:rsidRPr="00792049" w:rsidRDefault="00792049" w:rsidP="00792049">
      <w:pPr>
        <w:pStyle w:val="ListParagraph"/>
        <w:numPr>
          <w:ilvl w:val="0"/>
          <w:numId w:val="4"/>
        </w:numPr>
        <w:rPr>
          <w:b/>
        </w:rPr>
      </w:pPr>
      <w:r>
        <w:t xml:space="preserve">We need to modify existing certificates (those with solid enrollment) to assure that they </w:t>
      </w:r>
      <w:r w:rsidRPr="00792049">
        <w:t>fulfill these criteria,</w:t>
      </w:r>
      <w:r>
        <w:t xml:space="preserve"> even though this will mean securing</w:t>
      </w:r>
      <w:r w:rsidRPr="00792049">
        <w:t xml:space="preserve"> THECB approval (UG: 21-36 hours; G: 16-29 hours). </w:t>
      </w:r>
      <w:r>
        <w:t>This will require using the “New Certificate Program Proposal,” even for existing certificates, as the shorter certificates were never sent to the THECB in the past.</w:t>
      </w:r>
    </w:p>
    <w:p w14:paraId="49E04D88" w14:textId="057EBF7D" w:rsidR="00792049" w:rsidRPr="00545FF2" w:rsidRDefault="00792049" w:rsidP="00792049">
      <w:pPr>
        <w:pStyle w:val="ListParagraph"/>
        <w:numPr>
          <w:ilvl w:val="0"/>
          <w:numId w:val="4"/>
        </w:numPr>
        <w:rPr>
          <w:b/>
        </w:rPr>
      </w:pPr>
      <w:r>
        <w:t xml:space="preserve">We need to consider creating any new certificates to meet these criteria, in order to assure they will be covered by financial aid. </w:t>
      </w:r>
    </w:p>
    <w:p w14:paraId="0C32F83D" w14:textId="7B149CA0" w:rsidR="00545FF2" w:rsidRPr="00545FF2" w:rsidRDefault="00545FF2" w:rsidP="00792049">
      <w:pPr>
        <w:pStyle w:val="ListParagraph"/>
        <w:numPr>
          <w:ilvl w:val="0"/>
          <w:numId w:val="4"/>
        </w:numPr>
        <w:rPr>
          <w:b/>
        </w:rPr>
      </w:pPr>
      <w:r>
        <w:t>For shorter graduate certificates, students can declare the Masters in Professional Science and attach a shorter certificate to that degree plan, if warranted</w:t>
      </w:r>
    </w:p>
    <w:p w14:paraId="0E5B0F21" w14:textId="62ABAB97" w:rsidR="00792049" w:rsidRPr="00545FF2" w:rsidRDefault="00545FF2" w:rsidP="007E3DF1">
      <w:pPr>
        <w:pStyle w:val="ListParagraph"/>
        <w:numPr>
          <w:ilvl w:val="0"/>
          <w:numId w:val="4"/>
        </w:numPr>
        <w:rPr>
          <w:b/>
        </w:rPr>
      </w:pPr>
      <w:r>
        <w:t xml:space="preserve">For shorter undergraduate certificates, we should consider creating minors that are equivalent to the certificate, so that the students may declare the minor as part of their degree plan. </w:t>
      </w:r>
    </w:p>
    <w:p w14:paraId="1430BC31" w14:textId="77777777" w:rsidR="000E1DC8" w:rsidRPr="00792049" w:rsidRDefault="000E1DC8" w:rsidP="000E1DC8">
      <w:r w:rsidRPr="00792049">
        <w:t> </w:t>
      </w:r>
    </w:p>
    <w:p w14:paraId="2CB05D0C" w14:textId="77777777" w:rsidR="000E1DC8" w:rsidRPr="00792049" w:rsidRDefault="000E1DC8" w:rsidP="000E1DC8">
      <w:r w:rsidRPr="00792049">
        <w:rPr>
          <w:b/>
        </w:rPr>
        <w:t>Eligibility and Gainful Employment requirements</w:t>
      </w:r>
      <w:r w:rsidRPr="00792049">
        <w:t>:</w:t>
      </w:r>
    </w:p>
    <w:p w14:paraId="04EE6683" w14:textId="77777777" w:rsidR="00257AE8" w:rsidRPr="00792049" w:rsidRDefault="000E1DC8" w:rsidP="00257AE8">
      <w:pPr>
        <w:pStyle w:val="ListParagraph"/>
        <w:numPr>
          <w:ilvl w:val="0"/>
          <w:numId w:val="3"/>
        </w:numPr>
      </w:pPr>
      <w:r w:rsidRPr="00792049">
        <w:t>We are no longer required to report employment</w:t>
      </w:r>
      <w:r w:rsidR="00CD5E91" w:rsidRPr="00792049">
        <w:t xml:space="preserve"> data</w:t>
      </w:r>
      <w:r w:rsidRPr="00792049">
        <w:t xml:space="preserve"> in order to “prove” gainful employment</w:t>
      </w:r>
      <w:r w:rsidR="00074246" w:rsidRPr="00792049">
        <w:t xml:space="preserve">, which alleviates the reporting pressure that once limited these certificates. </w:t>
      </w:r>
    </w:p>
    <w:p w14:paraId="48DF5833" w14:textId="01984D72" w:rsidR="00257AE8" w:rsidRDefault="00FF6592" w:rsidP="00257AE8">
      <w:pPr>
        <w:pStyle w:val="ListParagraph"/>
        <w:numPr>
          <w:ilvl w:val="0"/>
          <w:numId w:val="3"/>
        </w:numPr>
      </w:pPr>
      <w:r w:rsidRPr="00792049">
        <w:t>T</w:t>
      </w:r>
      <w:r w:rsidR="000E1DC8" w:rsidRPr="00792049">
        <w:t>he federal government does still expect certificates to lead to employment</w:t>
      </w:r>
      <w:r w:rsidR="00074246" w:rsidRPr="00792049">
        <w:t xml:space="preserve"> and could question a certificate, on that basis, if they chose to do so. T</w:t>
      </w:r>
      <w:r w:rsidR="000E1DC8" w:rsidRPr="00792049">
        <w:t xml:space="preserve">he justifications that we typically provide to the THECB as part of getting approval for a new </w:t>
      </w:r>
      <w:r w:rsidRPr="00792049">
        <w:t>certificate</w:t>
      </w:r>
      <w:r w:rsidR="000E1DC8" w:rsidRPr="00792049">
        <w:t xml:space="preserve"> should suffice as a rationale for that (</w:t>
      </w:r>
      <w:r w:rsidRPr="00792049">
        <w:t xml:space="preserve">the form </w:t>
      </w:r>
      <w:r w:rsidR="000E1DC8" w:rsidRPr="00792049">
        <w:t>include</w:t>
      </w:r>
      <w:r w:rsidRPr="00792049">
        <w:t>s</w:t>
      </w:r>
      <w:r w:rsidR="000E1DC8" w:rsidRPr="00792049">
        <w:t xml:space="preserve"> job </w:t>
      </w:r>
      <w:r w:rsidRPr="00792049">
        <w:t>market need</w:t>
      </w:r>
      <w:r w:rsidR="000E1DC8" w:rsidRPr="00792049">
        <w:t>).</w:t>
      </w:r>
    </w:p>
    <w:p w14:paraId="4ADFC616" w14:textId="0B972505" w:rsidR="00792049" w:rsidRPr="00792049" w:rsidRDefault="00792049" w:rsidP="00257AE8">
      <w:pPr>
        <w:pStyle w:val="ListParagraph"/>
        <w:numPr>
          <w:ilvl w:val="0"/>
          <w:numId w:val="3"/>
        </w:numPr>
      </w:pPr>
      <w:r>
        <w:t>Any certificate that does not have sufficient enrollment over the past five years will lose eligibility for inclusion in the “Program Participation Agreement” for Title IV funding.</w:t>
      </w:r>
    </w:p>
    <w:p w14:paraId="64CA2997" w14:textId="152EDC80" w:rsidR="00792049" w:rsidRPr="00792049" w:rsidRDefault="00792049" w:rsidP="00792049">
      <w:r w:rsidRPr="00792049">
        <w:rPr>
          <w:b/>
        </w:rPr>
        <w:t>Recommendations:</w:t>
      </w:r>
    </w:p>
    <w:p w14:paraId="3B47879A" w14:textId="06D2B079" w:rsidR="000E1DC8" w:rsidRPr="00792049" w:rsidRDefault="00257AE8" w:rsidP="00CD5E91">
      <w:pPr>
        <w:pStyle w:val="ListParagraph"/>
        <w:numPr>
          <w:ilvl w:val="0"/>
          <w:numId w:val="3"/>
        </w:numPr>
      </w:pPr>
      <w:r w:rsidRPr="00792049">
        <w:t xml:space="preserve">For job </w:t>
      </w:r>
      <w:r w:rsidR="00FF6592" w:rsidRPr="00792049">
        <w:t xml:space="preserve">market </w:t>
      </w:r>
      <w:r w:rsidRPr="00792049">
        <w:t>data, faculty leaders will</w:t>
      </w:r>
      <w:r w:rsidR="000E1DC8" w:rsidRPr="00792049">
        <w:t xml:space="preserve"> want to inquire of potential employers whether they would expect a student to have the certificate PLUS a degree, or whether they would employ someone who has the certificate without a degree. In many cases, employers will hire someone with a specific </w:t>
      </w:r>
      <w:r w:rsidR="000E1DC8" w:rsidRPr="00792049">
        <w:rPr>
          <w:u w:val="single"/>
        </w:rPr>
        <w:t>post-bac</w:t>
      </w:r>
      <w:r w:rsidR="000E1DC8" w:rsidRPr="00792049">
        <w:t xml:space="preserve"> certificate, but might not consider a job candidate who holds a certificate without a degree. This does not mean that we could not make such a certificate eligible for financial aid (given that it would lead to employment in certain cases), but that we </w:t>
      </w:r>
      <w:r w:rsidR="000E1DC8" w:rsidRPr="00792049">
        <w:lastRenderedPageBreak/>
        <w:t>would need to be honest in advising student</w:t>
      </w:r>
      <w:r w:rsidR="00FF6592" w:rsidRPr="00792049">
        <w:t>s</w:t>
      </w:r>
      <w:r w:rsidR="000E1DC8" w:rsidRPr="00792049">
        <w:t xml:space="preserve"> regarding whether a specific certificate would be appropriate in their particular circumstance. </w:t>
      </w:r>
    </w:p>
    <w:p w14:paraId="4229E813" w14:textId="44DDDE3A" w:rsidR="00CD5E91" w:rsidRDefault="00CD5E91" w:rsidP="00CD5E91">
      <w:pPr>
        <w:pStyle w:val="ListParagraph"/>
        <w:numPr>
          <w:ilvl w:val="0"/>
          <w:numId w:val="3"/>
        </w:numPr>
      </w:pPr>
      <w:r w:rsidRPr="00792049">
        <w:t>Partnerships with employers who agree to hire students with certain qualifications aligned with your certificate are the strongest method of justification.</w:t>
      </w:r>
    </w:p>
    <w:p w14:paraId="0EA3236D" w14:textId="17D1460D" w:rsidR="00545FF2" w:rsidRPr="00792049" w:rsidRDefault="00545FF2" w:rsidP="00CD5E91">
      <w:pPr>
        <w:pStyle w:val="ListParagraph"/>
        <w:numPr>
          <w:ilvl w:val="0"/>
          <w:numId w:val="3"/>
        </w:numPr>
      </w:pPr>
      <w:r>
        <w:t>We must recruit students into these certificates and monitor enrollment in certificates to assure that they remain viable.</w:t>
      </w:r>
    </w:p>
    <w:p w14:paraId="5CB90588" w14:textId="40A0E270" w:rsidR="000E1DC8" w:rsidRDefault="000E1DC8" w:rsidP="000E1DC8"/>
    <w:p w14:paraId="3D71CE82" w14:textId="77777777" w:rsidR="00FC35F8" w:rsidRDefault="00FC35F8" w:rsidP="000E1DC8"/>
    <w:p w14:paraId="356A590B" w14:textId="77777777" w:rsidR="00FC35F8" w:rsidRDefault="00FC35F8">
      <w:pPr>
        <w:spacing w:line="259" w:lineRule="auto"/>
      </w:pPr>
      <w:r>
        <w:br w:type="page"/>
      </w:r>
    </w:p>
    <w:p w14:paraId="771BC37E" w14:textId="6D6D1813" w:rsidR="00FC35F8" w:rsidRDefault="00FC35F8" w:rsidP="000E1DC8">
      <w:r>
        <w:lastRenderedPageBreak/>
        <w:t>Certificates currently listed as eligible on Financial Aid website:</w:t>
      </w:r>
    </w:p>
    <w:p w14:paraId="0D41959B" w14:textId="77777777" w:rsidR="00A02922" w:rsidRDefault="00A02922" w:rsidP="000E1DC8"/>
    <w:tbl>
      <w:tblPr>
        <w:tblW w:w="5480" w:type="dxa"/>
        <w:tblInd w:w="-3" w:type="dxa"/>
        <w:tblCellMar>
          <w:left w:w="0" w:type="dxa"/>
          <w:right w:w="0" w:type="dxa"/>
        </w:tblCellMar>
        <w:tblLook w:val="04A0" w:firstRow="1" w:lastRow="0" w:firstColumn="1" w:lastColumn="0" w:noHBand="0" w:noVBand="1"/>
      </w:tblPr>
      <w:tblGrid>
        <w:gridCol w:w="4520"/>
        <w:gridCol w:w="960"/>
      </w:tblGrid>
      <w:tr w:rsidR="00504DE1" w14:paraId="4986B358" w14:textId="77777777" w:rsidTr="00723EF2">
        <w:trPr>
          <w:trHeight w:val="300"/>
        </w:trPr>
        <w:tc>
          <w:tcPr>
            <w:tcW w:w="4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12E680" w14:textId="77777777" w:rsidR="00504DE1" w:rsidRDefault="00504DE1" w:rsidP="00723EF2">
            <w:pPr>
              <w:rPr>
                <w:b/>
                <w:bCs/>
                <w:color w:val="000000"/>
              </w:rPr>
            </w:pPr>
            <w:r>
              <w:rPr>
                <w:b/>
                <w:bCs/>
                <w:color w:val="000000"/>
              </w:rPr>
              <w:t>Program Name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72174B3" w14:textId="77777777" w:rsidR="00504DE1" w:rsidRDefault="00504DE1" w:rsidP="00723EF2">
            <w:pPr>
              <w:jc w:val="center"/>
              <w:rPr>
                <w:b/>
                <w:bCs/>
              </w:rPr>
            </w:pPr>
            <w:r>
              <w:rPr>
                <w:b/>
                <w:bCs/>
              </w:rPr>
              <w:t>SCH</w:t>
            </w:r>
          </w:p>
        </w:tc>
      </w:tr>
      <w:tr w:rsidR="00504DE1" w14:paraId="1483500D"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4F9B1946" w14:textId="6925B2FA" w:rsidR="00504DE1" w:rsidRDefault="00504DE1" w:rsidP="00723EF2">
            <w:r>
              <w:rPr>
                <w:rFonts w:ascii="Arial" w:hAnsi="Arial" w:cs="Arial"/>
              </w:rPr>
              <w:t>Accountancy</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0C257843" w14:textId="26A327CF" w:rsidR="00504DE1" w:rsidRDefault="00504DE1" w:rsidP="00504DE1">
            <w:pPr>
              <w:jc w:val="center"/>
              <w:rPr>
                <w:b/>
                <w:bCs/>
              </w:rPr>
            </w:pPr>
            <w:r>
              <w:rPr>
                <w:b/>
                <w:bCs/>
              </w:rPr>
              <w:t>15</w:t>
            </w:r>
          </w:p>
        </w:tc>
      </w:tr>
      <w:tr w:rsidR="00504DE1" w14:paraId="61181111"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0CA2AE8F" w14:textId="240A90F9" w:rsidR="00504DE1" w:rsidRDefault="00504DE1" w:rsidP="00723EF2">
            <w:r>
              <w:rPr>
                <w:rFonts w:ascii="Arial" w:hAnsi="Arial" w:cs="Arial"/>
              </w:rPr>
              <w:t>Intelligence and National Security Studies</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80F6164" w14:textId="476D837F" w:rsidR="00504DE1" w:rsidRDefault="00504DE1" w:rsidP="00723EF2">
            <w:pPr>
              <w:jc w:val="center"/>
              <w:rPr>
                <w:b/>
                <w:bCs/>
              </w:rPr>
            </w:pPr>
            <w:r>
              <w:rPr>
                <w:b/>
                <w:bCs/>
              </w:rPr>
              <w:t>15</w:t>
            </w:r>
          </w:p>
        </w:tc>
      </w:tr>
      <w:tr w:rsidR="00504DE1" w14:paraId="7EB76DD5"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7353ADE9" w14:textId="1450138E" w:rsidR="00504DE1" w:rsidRDefault="00504DE1" w:rsidP="00723EF2">
            <w:r>
              <w:rPr>
                <w:rFonts w:ascii="Arial" w:hAnsi="Arial" w:cs="Arial"/>
              </w:rPr>
              <w:t>Teaching English to Speak Other Language (ESOL)</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6C43C3B2" w14:textId="3EDDF9A9" w:rsidR="00504DE1" w:rsidRDefault="00504DE1" w:rsidP="00723EF2">
            <w:pPr>
              <w:jc w:val="center"/>
              <w:rPr>
                <w:b/>
                <w:bCs/>
              </w:rPr>
            </w:pPr>
            <w:r>
              <w:rPr>
                <w:b/>
                <w:bCs/>
              </w:rPr>
              <w:t>12</w:t>
            </w:r>
          </w:p>
        </w:tc>
      </w:tr>
      <w:tr w:rsidR="00504DE1" w14:paraId="6B676D15" w14:textId="77777777" w:rsidTr="00504DE1">
        <w:trPr>
          <w:trHeight w:val="300"/>
        </w:trPr>
        <w:tc>
          <w:tcPr>
            <w:tcW w:w="4520" w:type="dxa"/>
            <w:tcBorders>
              <w:top w:val="nil"/>
              <w:left w:val="single" w:sz="8"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DFD936A" w14:textId="33F28435" w:rsidR="00504DE1" w:rsidRDefault="00504DE1" w:rsidP="00723EF2">
            <w:pPr>
              <w:rPr>
                <w:color w:val="000000"/>
              </w:rPr>
            </w:pPr>
            <w:r>
              <w:rPr>
                <w:rFonts w:ascii="Arial" w:hAnsi="Arial" w:cs="Arial"/>
              </w:rPr>
              <w:t>Technical and Professional Writing</w:t>
            </w:r>
          </w:p>
        </w:tc>
        <w:tc>
          <w:tcPr>
            <w:tcW w:w="960" w:type="dxa"/>
            <w:tcBorders>
              <w:top w:val="nil"/>
              <w:left w:val="nil"/>
              <w:bottom w:val="single" w:sz="4" w:space="0" w:color="auto"/>
              <w:right w:val="single" w:sz="8" w:space="0" w:color="auto"/>
            </w:tcBorders>
            <w:shd w:val="clear" w:color="auto" w:fill="FFF2CC"/>
            <w:noWrap/>
            <w:tcMar>
              <w:top w:w="0" w:type="dxa"/>
              <w:left w:w="108" w:type="dxa"/>
              <w:bottom w:w="0" w:type="dxa"/>
              <w:right w:w="108" w:type="dxa"/>
            </w:tcMar>
            <w:vAlign w:val="bottom"/>
            <w:hideMark/>
          </w:tcPr>
          <w:p w14:paraId="640D4044" w14:textId="01E8C570" w:rsidR="00504DE1" w:rsidRDefault="00504DE1" w:rsidP="00723EF2">
            <w:pPr>
              <w:jc w:val="center"/>
              <w:rPr>
                <w:b/>
                <w:bCs/>
              </w:rPr>
            </w:pPr>
            <w:r>
              <w:rPr>
                <w:b/>
                <w:bCs/>
              </w:rPr>
              <w:t>12</w:t>
            </w:r>
          </w:p>
        </w:tc>
      </w:tr>
      <w:tr w:rsidR="00504DE1" w14:paraId="47B37983" w14:textId="77777777" w:rsidTr="00504DE1">
        <w:trPr>
          <w:trHeight w:val="300"/>
        </w:trPr>
        <w:tc>
          <w:tcPr>
            <w:tcW w:w="4520" w:type="dxa"/>
            <w:tcBorders>
              <w:top w:val="single" w:sz="4" w:space="0" w:color="auto"/>
              <w:left w:val="single" w:sz="8"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14:paraId="383C2EE0" w14:textId="0EB8811D" w:rsidR="00504DE1" w:rsidRDefault="00504DE1" w:rsidP="00723EF2">
            <w:pPr>
              <w:rPr>
                <w:color w:val="000000"/>
              </w:rPr>
            </w:pPr>
            <w:r>
              <w:rPr>
                <w:rFonts w:ascii="Arial" w:hAnsi="Arial" w:cs="Arial"/>
              </w:rPr>
              <w:t>Women’s Studies</w:t>
            </w:r>
          </w:p>
        </w:tc>
        <w:tc>
          <w:tcPr>
            <w:tcW w:w="960" w:type="dxa"/>
            <w:tcBorders>
              <w:top w:val="single" w:sz="4" w:space="0" w:color="auto"/>
              <w:left w:val="nil"/>
              <w:bottom w:val="single" w:sz="4" w:space="0" w:color="auto"/>
              <w:right w:val="single" w:sz="8" w:space="0" w:color="auto"/>
            </w:tcBorders>
            <w:shd w:val="clear" w:color="auto" w:fill="FFF2CC"/>
            <w:noWrap/>
            <w:tcMar>
              <w:top w:w="0" w:type="dxa"/>
              <w:left w:w="108" w:type="dxa"/>
              <w:bottom w:w="0" w:type="dxa"/>
              <w:right w:w="108" w:type="dxa"/>
            </w:tcMar>
            <w:vAlign w:val="bottom"/>
          </w:tcPr>
          <w:p w14:paraId="77DF2C4D" w14:textId="16ABD81E" w:rsidR="00504DE1" w:rsidRDefault="00A02922" w:rsidP="00723EF2">
            <w:pPr>
              <w:jc w:val="center"/>
              <w:rPr>
                <w:b/>
                <w:bCs/>
              </w:rPr>
            </w:pPr>
            <w:r>
              <w:rPr>
                <w:b/>
                <w:bCs/>
              </w:rPr>
              <w:t>12</w:t>
            </w:r>
          </w:p>
        </w:tc>
      </w:tr>
      <w:tr w:rsidR="00504DE1" w14:paraId="2319F6CC" w14:textId="77777777" w:rsidTr="00504DE1">
        <w:trPr>
          <w:trHeight w:val="300"/>
        </w:trPr>
        <w:tc>
          <w:tcPr>
            <w:tcW w:w="4520" w:type="dxa"/>
            <w:tcBorders>
              <w:top w:val="single" w:sz="4" w:space="0" w:color="auto"/>
              <w:left w:val="single" w:sz="8"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14:paraId="1A7B064D" w14:textId="5C72779F" w:rsidR="00504DE1" w:rsidRDefault="00A02922" w:rsidP="00723EF2">
            <w:pPr>
              <w:rPr>
                <w:color w:val="000000"/>
              </w:rPr>
            </w:pPr>
            <w:r>
              <w:rPr>
                <w:rFonts w:ascii="Arial" w:hAnsi="Arial" w:cs="Arial"/>
              </w:rPr>
              <w:t>Public Health</w:t>
            </w:r>
          </w:p>
        </w:tc>
        <w:tc>
          <w:tcPr>
            <w:tcW w:w="960" w:type="dxa"/>
            <w:tcBorders>
              <w:top w:val="single" w:sz="4" w:space="0" w:color="auto"/>
              <w:left w:val="nil"/>
              <w:bottom w:val="single" w:sz="4" w:space="0" w:color="auto"/>
              <w:right w:val="single" w:sz="8" w:space="0" w:color="auto"/>
            </w:tcBorders>
            <w:shd w:val="clear" w:color="auto" w:fill="FFF2CC"/>
            <w:noWrap/>
            <w:tcMar>
              <w:top w:w="0" w:type="dxa"/>
              <w:left w:w="108" w:type="dxa"/>
              <w:bottom w:w="0" w:type="dxa"/>
              <w:right w:w="108" w:type="dxa"/>
            </w:tcMar>
            <w:vAlign w:val="bottom"/>
          </w:tcPr>
          <w:p w14:paraId="7CAD6573" w14:textId="4B23FF01" w:rsidR="00504DE1" w:rsidRDefault="00A02922" w:rsidP="00723EF2">
            <w:pPr>
              <w:jc w:val="center"/>
              <w:rPr>
                <w:b/>
                <w:bCs/>
              </w:rPr>
            </w:pPr>
            <w:r>
              <w:rPr>
                <w:b/>
                <w:bCs/>
              </w:rPr>
              <w:t>15</w:t>
            </w:r>
          </w:p>
        </w:tc>
      </w:tr>
      <w:tr w:rsidR="00504DE1" w14:paraId="4D9498DB" w14:textId="77777777" w:rsidTr="00A02922">
        <w:trPr>
          <w:trHeight w:val="300"/>
        </w:trPr>
        <w:tc>
          <w:tcPr>
            <w:tcW w:w="4520" w:type="dxa"/>
            <w:tcBorders>
              <w:top w:val="single" w:sz="4" w:space="0" w:color="auto"/>
              <w:left w:val="single" w:sz="8"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vAlign w:val="bottom"/>
          </w:tcPr>
          <w:p w14:paraId="6A4DD2D8" w14:textId="24C20DC2" w:rsidR="00504DE1" w:rsidRPr="00A02922" w:rsidRDefault="00A02922" w:rsidP="00723EF2">
            <w:pPr>
              <w:rPr>
                <w:rFonts w:ascii="Arial" w:hAnsi="Arial" w:cs="Arial"/>
                <w:color w:val="000000"/>
              </w:rPr>
            </w:pPr>
            <w:r w:rsidRPr="00A02922">
              <w:rPr>
                <w:rFonts w:ascii="Arial" w:hAnsi="Arial" w:cs="Arial"/>
                <w:color w:val="000000"/>
              </w:rPr>
              <w:t>Nursing Education</w:t>
            </w:r>
          </w:p>
        </w:tc>
        <w:tc>
          <w:tcPr>
            <w:tcW w:w="960" w:type="dxa"/>
            <w:tcBorders>
              <w:top w:val="single" w:sz="4" w:space="0" w:color="auto"/>
              <w:left w:val="nil"/>
              <w:bottom w:val="single" w:sz="4" w:space="0" w:color="auto"/>
              <w:right w:val="single" w:sz="8" w:space="0" w:color="auto"/>
            </w:tcBorders>
            <w:shd w:val="clear" w:color="auto" w:fill="FFF2CC"/>
            <w:noWrap/>
            <w:tcMar>
              <w:top w:w="0" w:type="dxa"/>
              <w:left w:w="108" w:type="dxa"/>
              <w:bottom w:w="0" w:type="dxa"/>
              <w:right w:w="108" w:type="dxa"/>
            </w:tcMar>
            <w:vAlign w:val="bottom"/>
          </w:tcPr>
          <w:p w14:paraId="469E9A5C" w14:textId="439684F2" w:rsidR="00504DE1" w:rsidRDefault="00A02922" w:rsidP="00723EF2">
            <w:pPr>
              <w:jc w:val="center"/>
              <w:rPr>
                <w:b/>
                <w:bCs/>
              </w:rPr>
            </w:pPr>
            <w:r>
              <w:rPr>
                <w:b/>
                <w:bCs/>
              </w:rPr>
              <w:t>9</w:t>
            </w:r>
          </w:p>
        </w:tc>
      </w:tr>
      <w:tr w:rsidR="00A02922" w14:paraId="44BCB0D0" w14:textId="77777777" w:rsidTr="00504DE1">
        <w:trPr>
          <w:trHeight w:val="300"/>
        </w:trPr>
        <w:tc>
          <w:tcPr>
            <w:tcW w:w="4520" w:type="dxa"/>
            <w:tcBorders>
              <w:top w:val="single" w:sz="4"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6FBA3B1E" w14:textId="4D08765D" w:rsidR="00A02922" w:rsidRPr="00A02922" w:rsidRDefault="00A02922" w:rsidP="00723EF2">
            <w:pPr>
              <w:rPr>
                <w:rFonts w:ascii="Arial" w:hAnsi="Arial" w:cs="Arial"/>
                <w:color w:val="000000"/>
              </w:rPr>
            </w:pPr>
            <w:r w:rsidRPr="00A02922">
              <w:rPr>
                <w:rFonts w:ascii="Arial" w:hAnsi="Arial" w:cs="Arial"/>
                <w:color w:val="000000"/>
              </w:rPr>
              <w:t>Post Master’s Nursing</w:t>
            </w:r>
          </w:p>
        </w:tc>
        <w:tc>
          <w:tcPr>
            <w:tcW w:w="960" w:type="dxa"/>
            <w:tcBorders>
              <w:top w:val="single" w:sz="4"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bottom"/>
          </w:tcPr>
          <w:p w14:paraId="567AEC00" w14:textId="34726009" w:rsidR="00A02922" w:rsidRDefault="00A02922" w:rsidP="00723EF2">
            <w:pPr>
              <w:jc w:val="center"/>
              <w:rPr>
                <w:b/>
                <w:bCs/>
              </w:rPr>
            </w:pPr>
            <w:r>
              <w:rPr>
                <w:b/>
                <w:bCs/>
              </w:rPr>
              <w:t>49</w:t>
            </w:r>
          </w:p>
        </w:tc>
      </w:tr>
    </w:tbl>
    <w:p w14:paraId="651B220B" w14:textId="2894092F" w:rsidR="00FC35F8" w:rsidRDefault="00F27994" w:rsidP="00A02922">
      <w:pPr>
        <w:rPr>
          <w:rFonts w:ascii="Arial" w:hAnsi="Arial" w:cs="Arial"/>
          <w:color w:val="FF0000"/>
        </w:rPr>
      </w:pPr>
      <w:r w:rsidRPr="00A02922">
        <w:rPr>
          <w:rFonts w:ascii="Arial" w:hAnsi="Arial" w:cs="Arial"/>
          <w:color w:val="FF0000"/>
        </w:rPr>
        <w:t xml:space="preserve"> </w:t>
      </w:r>
    </w:p>
    <w:p w14:paraId="523118C1" w14:textId="73FFE7D3" w:rsidR="00A02922" w:rsidRDefault="00A02922" w:rsidP="00A02922">
      <w:r>
        <w:rPr>
          <w:rFonts w:ascii="Arial" w:hAnsi="Arial" w:cs="Arial"/>
        </w:rPr>
        <w:t xml:space="preserve">The first 7 will no longer be eligible, as they do not qualify. Nursing will remain eligible – it has special dispensation from the max 29 rule, due to accreditation requirements. </w:t>
      </w:r>
    </w:p>
    <w:p w14:paraId="63C8DDD4" w14:textId="2BF2F45F" w:rsidR="00FC35F8" w:rsidRDefault="00FC35F8" w:rsidP="000E1DC8"/>
    <w:p w14:paraId="229598A3" w14:textId="77777777" w:rsidR="00FC35F8" w:rsidRDefault="00FC35F8" w:rsidP="000E1DC8"/>
    <w:p w14:paraId="0EEF676E" w14:textId="600D5A90" w:rsidR="00FC35F8" w:rsidRDefault="00FC35F8" w:rsidP="000E1DC8">
      <w:r>
        <w:t>Certificates that will become eligible in July:</w:t>
      </w:r>
    </w:p>
    <w:p w14:paraId="7B582CBC" w14:textId="54C5EE03" w:rsidR="00FC35F8" w:rsidRDefault="00FC35F8" w:rsidP="000E1DC8"/>
    <w:tbl>
      <w:tblPr>
        <w:tblW w:w="5480" w:type="dxa"/>
        <w:tblInd w:w="-3" w:type="dxa"/>
        <w:tblCellMar>
          <w:left w:w="0" w:type="dxa"/>
          <w:right w:w="0" w:type="dxa"/>
        </w:tblCellMar>
        <w:tblLook w:val="04A0" w:firstRow="1" w:lastRow="0" w:firstColumn="1" w:lastColumn="0" w:noHBand="0" w:noVBand="1"/>
      </w:tblPr>
      <w:tblGrid>
        <w:gridCol w:w="4520"/>
        <w:gridCol w:w="960"/>
      </w:tblGrid>
      <w:tr w:rsidR="00504DE1" w14:paraId="4379AC8E" w14:textId="77777777" w:rsidTr="00504DE1">
        <w:trPr>
          <w:trHeight w:val="300"/>
        </w:trPr>
        <w:tc>
          <w:tcPr>
            <w:tcW w:w="4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542AC6" w14:textId="77777777" w:rsidR="00504DE1" w:rsidRDefault="00504DE1">
            <w:pPr>
              <w:rPr>
                <w:b/>
                <w:bCs/>
                <w:color w:val="000000"/>
              </w:rPr>
            </w:pPr>
            <w:r>
              <w:rPr>
                <w:b/>
                <w:bCs/>
                <w:color w:val="000000"/>
              </w:rPr>
              <w:t>Program Name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F9B543" w14:textId="77777777" w:rsidR="00504DE1" w:rsidRDefault="00504DE1">
            <w:pPr>
              <w:jc w:val="center"/>
              <w:rPr>
                <w:b/>
                <w:bCs/>
              </w:rPr>
            </w:pPr>
            <w:r>
              <w:rPr>
                <w:b/>
                <w:bCs/>
              </w:rPr>
              <w:t>SCH</w:t>
            </w:r>
          </w:p>
        </w:tc>
      </w:tr>
      <w:tr w:rsidR="00504DE1" w14:paraId="1CDB3456"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DDDA85E" w14:textId="77777777" w:rsidR="00504DE1" w:rsidRDefault="00504DE1">
            <w:r>
              <w:t>Grad Certificate in Quant Methods in Psyc</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B90DD64" w14:textId="77777777" w:rsidR="00504DE1" w:rsidRDefault="00504DE1">
            <w:pPr>
              <w:jc w:val="center"/>
              <w:rPr>
                <w:b/>
                <w:bCs/>
              </w:rPr>
            </w:pPr>
            <w:r>
              <w:rPr>
                <w:b/>
                <w:bCs/>
              </w:rPr>
              <w:t>18</w:t>
            </w:r>
          </w:p>
        </w:tc>
      </w:tr>
      <w:tr w:rsidR="00504DE1" w14:paraId="01BBF988"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07383B6" w14:textId="77777777" w:rsidR="00504DE1" w:rsidRDefault="00504DE1">
            <w:r>
              <w:t>Grad Certificate in Teaching English</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0A90A700" w14:textId="77777777" w:rsidR="00504DE1" w:rsidRDefault="00504DE1">
            <w:pPr>
              <w:jc w:val="center"/>
              <w:rPr>
                <w:b/>
                <w:bCs/>
              </w:rPr>
            </w:pPr>
            <w:r>
              <w:rPr>
                <w:b/>
                <w:bCs/>
              </w:rPr>
              <w:t>18</w:t>
            </w:r>
          </w:p>
        </w:tc>
      </w:tr>
      <w:tr w:rsidR="00504DE1" w14:paraId="2D138D92"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3607B33" w14:textId="77777777" w:rsidR="00504DE1" w:rsidRDefault="00504DE1">
            <w:r>
              <w:t>Grad Certificate in Teaching Political Science</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7630E20" w14:textId="77777777" w:rsidR="00504DE1" w:rsidRDefault="00504DE1">
            <w:pPr>
              <w:jc w:val="center"/>
              <w:rPr>
                <w:b/>
                <w:bCs/>
              </w:rPr>
            </w:pPr>
            <w:r>
              <w:rPr>
                <w:b/>
                <w:bCs/>
              </w:rPr>
              <w:t>18</w:t>
            </w:r>
          </w:p>
        </w:tc>
      </w:tr>
      <w:tr w:rsidR="00504DE1" w14:paraId="090A124C"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622AE650" w14:textId="77777777" w:rsidR="00504DE1" w:rsidRDefault="00504DE1">
            <w:pPr>
              <w:rPr>
                <w:color w:val="000000"/>
              </w:rPr>
            </w:pPr>
            <w:r>
              <w:rPr>
                <w:color w:val="000000"/>
              </w:rPr>
              <w:t>Higher Education Endorsement</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2D287D2" w14:textId="77777777" w:rsidR="00504DE1" w:rsidRDefault="00504DE1">
            <w:pPr>
              <w:jc w:val="center"/>
              <w:rPr>
                <w:b/>
                <w:bCs/>
              </w:rPr>
            </w:pPr>
            <w:r>
              <w:rPr>
                <w:b/>
                <w:bCs/>
              </w:rPr>
              <w:t>18</w:t>
            </w:r>
          </w:p>
        </w:tc>
      </w:tr>
      <w:tr w:rsidR="00504DE1" w14:paraId="40CA761A"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626CAA9A" w14:textId="77777777" w:rsidR="00504DE1" w:rsidRDefault="00504DE1">
            <w:pPr>
              <w:rPr>
                <w:color w:val="000000"/>
              </w:rPr>
            </w:pPr>
            <w:r>
              <w:rPr>
                <w:color w:val="000000"/>
              </w:rPr>
              <w:t xml:space="preserve">Alternative Certification </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DD9C13B" w14:textId="77777777" w:rsidR="00504DE1" w:rsidRDefault="00504DE1">
            <w:pPr>
              <w:jc w:val="center"/>
              <w:rPr>
                <w:b/>
                <w:bCs/>
              </w:rPr>
            </w:pPr>
            <w:r>
              <w:rPr>
                <w:b/>
                <w:bCs/>
              </w:rPr>
              <w:t>30</w:t>
            </w:r>
          </w:p>
        </w:tc>
      </w:tr>
      <w:tr w:rsidR="00504DE1" w14:paraId="16504D20"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2219FE8" w14:textId="77777777" w:rsidR="00504DE1" w:rsidRDefault="00504DE1">
            <w:pPr>
              <w:rPr>
                <w:color w:val="000000"/>
              </w:rPr>
            </w:pPr>
            <w:r>
              <w:rPr>
                <w:color w:val="000000"/>
              </w:rPr>
              <w:t>Graduate Cert - Healthcare Mgmt</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F0066AA" w14:textId="77777777" w:rsidR="00504DE1" w:rsidRDefault="00504DE1">
            <w:pPr>
              <w:jc w:val="center"/>
              <w:rPr>
                <w:b/>
                <w:bCs/>
              </w:rPr>
            </w:pPr>
            <w:r>
              <w:rPr>
                <w:b/>
                <w:bCs/>
              </w:rPr>
              <w:t>18</w:t>
            </w:r>
          </w:p>
        </w:tc>
      </w:tr>
      <w:tr w:rsidR="00504DE1" w14:paraId="6EE03FB3"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1AB8836" w14:textId="77777777" w:rsidR="00504DE1" w:rsidRDefault="00504DE1">
            <w:pPr>
              <w:rPr>
                <w:color w:val="000000"/>
              </w:rPr>
            </w:pPr>
            <w:r>
              <w:rPr>
                <w:color w:val="000000"/>
              </w:rPr>
              <w:t>Certificate in Engineering Education</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C955350" w14:textId="77777777" w:rsidR="00504DE1" w:rsidRDefault="00504DE1">
            <w:pPr>
              <w:jc w:val="center"/>
              <w:rPr>
                <w:b/>
                <w:bCs/>
              </w:rPr>
            </w:pPr>
            <w:r>
              <w:rPr>
                <w:b/>
                <w:bCs/>
              </w:rPr>
              <w:t>18</w:t>
            </w:r>
          </w:p>
        </w:tc>
      </w:tr>
      <w:tr w:rsidR="00504DE1" w14:paraId="24C81BF0"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BF8B243" w14:textId="77777777" w:rsidR="00504DE1" w:rsidRDefault="00504DE1">
            <w:pPr>
              <w:rPr>
                <w:color w:val="000000"/>
              </w:rPr>
            </w:pPr>
            <w:r>
              <w:rPr>
                <w:color w:val="000000"/>
              </w:rPr>
              <w:t>Certificate in Biological Sciences</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EDB6E1B" w14:textId="77777777" w:rsidR="00504DE1" w:rsidRDefault="00504DE1">
            <w:pPr>
              <w:jc w:val="center"/>
              <w:rPr>
                <w:b/>
                <w:bCs/>
              </w:rPr>
            </w:pPr>
            <w:r>
              <w:rPr>
                <w:b/>
                <w:bCs/>
              </w:rPr>
              <w:t>18</w:t>
            </w:r>
          </w:p>
        </w:tc>
      </w:tr>
      <w:tr w:rsidR="00504DE1" w14:paraId="3F3FB75E"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BE49B75" w14:textId="77777777" w:rsidR="00504DE1" w:rsidRDefault="00504DE1">
            <w:pPr>
              <w:rPr>
                <w:color w:val="000000"/>
              </w:rPr>
            </w:pPr>
            <w:r>
              <w:rPr>
                <w:color w:val="000000"/>
              </w:rPr>
              <w:t>Certificate in Chemistry</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C2CA61A" w14:textId="77777777" w:rsidR="00504DE1" w:rsidRDefault="00504DE1">
            <w:pPr>
              <w:jc w:val="center"/>
              <w:rPr>
                <w:b/>
                <w:bCs/>
              </w:rPr>
            </w:pPr>
            <w:r>
              <w:rPr>
                <w:b/>
                <w:bCs/>
              </w:rPr>
              <w:t>18</w:t>
            </w:r>
          </w:p>
        </w:tc>
      </w:tr>
      <w:tr w:rsidR="00504DE1" w14:paraId="40D742AC" w14:textId="77777777" w:rsidTr="00504DE1">
        <w:trPr>
          <w:trHeight w:val="300"/>
        </w:trPr>
        <w:tc>
          <w:tcPr>
            <w:tcW w:w="452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0A6A73E8" w14:textId="440D5D9C" w:rsidR="00504DE1" w:rsidRDefault="00504DE1">
            <w:pPr>
              <w:rPr>
                <w:color w:val="000000"/>
              </w:rPr>
            </w:pPr>
            <w:r>
              <w:rPr>
                <w:color w:val="000000"/>
              </w:rPr>
              <w:t>Post Master's Certificate in Psyc Mental Health</w:t>
            </w:r>
            <w:r w:rsidR="00A02922">
              <w:rPr>
                <w:color w:val="000000"/>
              </w:rPr>
              <w:t>*</w:t>
            </w:r>
          </w:p>
        </w:tc>
        <w:tc>
          <w:tcPr>
            <w:tcW w:w="96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0ED4E32" w14:textId="7EE2E89C" w:rsidR="00504DE1" w:rsidRDefault="00B36269">
            <w:pPr>
              <w:jc w:val="center"/>
              <w:rPr>
                <w:b/>
                <w:bCs/>
              </w:rPr>
            </w:pPr>
            <w:r>
              <w:rPr>
                <w:b/>
                <w:bCs/>
              </w:rPr>
              <w:t>29-4</w:t>
            </w:r>
            <w:bookmarkStart w:id="0" w:name="_GoBack"/>
            <w:bookmarkEnd w:id="0"/>
            <w:r w:rsidR="00504DE1">
              <w:rPr>
                <w:b/>
                <w:bCs/>
              </w:rPr>
              <w:t>0</w:t>
            </w:r>
          </w:p>
        </w:tc>
      </w:tr>
    </w:tbl>
    <w:p w14:paraId="1D258F29" w14:textId="4FCCF31A" w:rsidR="00FC35F8" w:rsidRDefault="00A02922" w:rsidP="00FC35F8">
      <w:pPr>
        <w:rPr>
          <w:color w:val="1F497D"/>
        </w:rPr>
      </w:pPr>
      <w:r>
        <w:rPr>
          <w:b/>
          <w:bCs/>
          <w:i/>
          <w:iCs/>
          <w:color w:val="000000"/>
        </w:rPr>
        <w:t>*</w:t>
      </w:r>
      <w:r w:rsidR="00504DE1">
        <w:rPr>
          <w:b/>
          <w:bCs/>
          <w:i/>
          <w:iCs/>
          <w:color w:val="000000"/>
        </w:rPr>
        <w:t>Pending THECB approval</w:t>
      </w:r>
    </w:p>
    <w:p w14:paraId="44F1E718" w14:textId="425EA5D9" w:rsidR="00FC35F8" w:rsidRDefault="00FC35F8" w:rsidP="00FC35F8">
      <w:pPr>
        <w:rPr>
          <w:color w:val="1F497D"/>
        </w:rPr>
      </w:pPr>
    </w:p>
    <w:p w14:paraId="4848C986" w14:textId="77777777" w:rsidR="00FC35F8" w:rsidRPr="00792049" w:rsidRDefault="00FC35F8" w:rsidP="000E1DC8"/>
    <w:sectPr w:rsidR="00FC35F8" w:rsidRPr="0079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3BF"/>
    <w:multiLevelType w:val="hybridMultilevel"/>
    <w:tmpl w:val="D09A4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9F4E62"/>
    <w:multiLevelType w:val="hybridMultilevel"/>
    <w:tmpl w:val="99C0DA3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565534A3"/>
    <w:multiLevelType w:val="hybridMultilevel"/>
    <w:tmpl w:val="6E6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D52EF"/>
    <w:multiLevelType w:val="hybridMultilevel"/>
    <w:tmpl w:val="99A6E9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8"/>
    <w:rsid w:val="00074246"/>
    <w:rsid w:val="000E1DC8"/>
    <w:rsid w:val="00257AE8"/>
    <w:rsid w:val="00504DE1"/>
    <w:rsid w:val="00545FF2"/>
    <w:rsid w:val="00775A85"/>
    <w:rsid w:val="00792049"/>
    <w:rsid w:val="009146B8"/>
    <w:rsid w:val="00A02922"/>
    <w:rsid w:val="00B36269"/>
    <w:rsid w:val="00CD5E91"/>
    <w:rsid w:val="00D0100A"/>
    <w:rsid w:val="00F27994"/>
    <w:rsid w:val="00FC35F8"/>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A2E5"/>
  <w15:chartTrackingRefBased/>
  <w15:docId w15:val="{8F2A20A5-176F-4A51-A8DE-486071D1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C8"/>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C8"/>
    <w:pPr>
      <w:ind w:left="720"/>
    </w:pPr>
  </w:style>
  <w:style w:type="character" w:styleId="CommentReference">
    <w:name w:val="annotation reference"/>
    <w:basedOn w:val="DefaultParagraphFont"/>
    <w:uiPriority w:val="99"/>
    <w:semiHidden/>
    <w:unhideWhenUsed/>
    <w:rsid w:val="00D0100A"/>
    <w:rPr>
      <w:sz w:val="16"/>
      <w:szCs w:val="16"/>
    </w:rPr>
  </w:style>
  <w:style w:type="paragraph" w:styleId="CommentText">
    <w:name w:val="annotation text"/>
    <w:basedOn w:val="Normal"/>
    <w:link w:val="CommentTextChar"/>
    <w:uiPriority w:val="99"/>
    <w:semiHidden/>
    <w:unhideWhenUsed/>
    <w:rsid w:val="00D0100A"/>
    <w:rPr>
      <w:sz w:val="20"/>
      <w:szCs w:val="20"/>
    </w:rPr>
  </w:style>
  <w:style w:type="character" w:customStyle="1" w:styleId="CommentTextChar">
    <w:name w:val="Comment Text Char"/>
    <w:basedOn w:val="DefaultParagraphFont"/>
    <w:link w:val="CommentText"/>
    <w:uiPriority w:val="99"/>
    <w:semiHidden/>
    <w:rsid w:val="00D010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100A"/>
    <w:rPr>
      <w:b/>
      <w:bCs/>
    </w:rPr>
  </w:style>
  <w:style w:type="character" w:customStyle="1" w:styleId="CommentSubjectChar">
    <w:name w:val="Comment Subject Char"/>
    <w:basedOn w:val="CommentTextChar"/>
    <w:link w:val="CommentSubject"/>
    <w:uiPriority w:val="99"/>
    <w:semiHidden/>
    <w:rsid w:val="00D0100A"/>
    <w:rPr>
      <w:rFonts w:ascii="Calibri" w:hAnsi="Calibri" w:cs="Calibri"/>
      <w:b/>
      <w:bCs/>
      <w:sz w:val="20"/>
      <w:szCs w:val="20"/>
    </w:rPr>
  </w:style>
  <w:style w:type="paragraph" w:styleId="BalloonText">
    <w:name w:val="Balloon Text"/>
    <w:basedOn w:val="Normal"/>
    <w:link w:val="BalloonTextChar"/>
    <w:uiPriority w:val="99"/>
    <w:semiHidden/>
    <w:unhideWhenUsed/>
    <w:rsid w:val="00D01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0A"/>
    <w:rPr>
      <w:rFonts w:ascii="Segoe UI" w:hAnsi="Segoe UI" w:cs="Segoe UI"/>
      <w:sz w:val="18"/>
      <w:szCs w:val="18"/>
    </w:rPr>
  </w:style>
  <w:style w:type="character" w:styleId="Hyperlink">
    <w:name w:val="Hyperlink"/>
    <w:basedOn w:val="DefaultParagraphFont"/>
    <w:uiPriority w:val="99"/>
    <w:semiHidden/>
    <w:unhideWhenUsed/>
    <w:rsid w:val="00F279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6978">
      <w:bodyDiv w:val="1"/>
      <w:marLeft w:val="0"/>
      <w:marRight w:val="0"/>
      <w:marTop w:val="0"/>
      <w:marBottom w:val="0"/>
      <w:divBdr>
        <w:top w:val="none" w:sz="0" w:space="0" w:color="auto"/>
        <w:left w:val="none" w:sz="0" w:space="0" w:color="auto"/>
        <w:bottom w:val="none" w:sz="0" w:space="0" w:color="auto"/>
        <w:right w:val="none" w:sz="0" w:space="0" w:color="auto"/>
      </w:divBdr>
    </w:div>
    <w:div w:id="1409502340">
      <w:bodyDiv w:val="1"/>
      <w:marLeft w:val="0"/>
      <w:marRight w:val="0"/>
      <w:marTop w:val="0"/>
      <w:marBottom w:val="0"/>
      <w:divBdr>
        <w:top w:val="none" w:sz="0" w:space="0" w:color="auto"/>
        <w:left w:val="none" w:sz="0" w:space="0" w:color="auto"/>
        <w:bottom w:val="none" w:sz="0" w:space="0" w:color="auto"/>
        <w:right w:val="none" w:sz="0" w:space="0" w:color="auto"/>
      </w:divBdr>
    </w:div>
    <w:div w:id="17156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3" ma:contentTypeDescription="Create a new document." ma:contentTypeScope="" ma:versionID="734c611a0929d07613ceea200db04f66">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e10826dda767447adfe43091e6f34338"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784A6-D619-4F87-881C-1FF2169C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91CF1-4D60-4BE1-8125-A985A1BE899C}">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c6eb7ba6-d18c-4ff8-aa9d-f6f0f55e4cfa"/>
    <ds:schemaRef ds:uri="http://purl.org/dc/dcmitype/"/>
    <ds:schemaRef ds:uri="http://purl.org/dc/elements/1.1/"/>
    <ds:schemaRef ds:uri="http://schemas.microsoft.com/office/infopath/2007/PartnerControls"/>
    <ds:schemaRef ds:uri="a76296af-eda4-4966-a42e-7e7c4a79b43a"/>
  </ds:schemaRefs>
</ds:datastoreItem>
</file>

<file path=customXml/itemProps3.xml><?xml version="1.0" encoding="utf-8"?>
<ds:datastoreItem xmlns:ds="http://schemas.openxmlformats.org/officeDocument/2006/customXml" ds:itemID="{DB84B9F0-682C-4620-9BF8-333806F16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Toni L</dc:creator>
  <cp:keywords/>
  <dc:description/>
  <cp:lastModifiedBy>Blum, Toni L</cp:lastModifiedBy>
  <cp:revision>6</cp:revision>
  <dcterms:created xsi:type="dcterms:W3CDTF">2020-03-04T18:38:00Z</dcterms:created>
  <dcterms:modified xsi:type="dcterms:W3CDTF">2020-06-16T23:26:00Z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