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ECB" w:rsidRPr="00C809CD" w:rsidRDefault="00C809CD">
      <w:pPr>
        <w:rPr>
          <w:b/>
          <w:sz w:val="28"/>
          <w:szCs w:val="28"/>
        </w:rPr>
      </w:pPr>
      <w:bookmarkStart w:id="0" w:name="_GoBack"/>
      <w:bookmarkEnd w:id="0"/>
      <w:r>
        <w:rPr>
          <w:b/>
          <w:sz w:val="28"/>
          <w:szCs w:val="28"/>
        </w:rPr>
        <w:t>Vocabulary</w:t>
      </w:r>
    </w:p>
    <w:p w:rsidR="00C809CD" w:rsidRDefault="00C809CD" w:rsidP="00C809CD">
      <w:pPr>
        <w:pStyle w:val="ListParagraph"/>
        <w:numPr>
          <w:ilvl w:val="0"/>
          <w:numId w:val="1"/>
        </w:numPr>
      </w:pPr>
      <w:r w:rsidRPr="00C809CD">
        <w:rPr>
          <w:b/>
        </w:rPr>
        <w:t xml:space="preserve">Legislative Appropriations Request (LAR) </w:t>
      </w:r>
      <w:r>
        <w:t xml:space="preserve">– Document submitted to the Legislative Budget Board (LBB) through their ABEST application prior to the start of the Legislative Session.  Submission is coordinated through UT System.  UT System must approve exceptional Item and TRB requests in advance.  Two versions are submitted to the LBB - August and October.  The August version contains estimates and </w:t>
      </w:r>
      <w:proofErr w:type="gramStart"/>
      <w:r>
        <w:t>is edited</w:t>
      </w:r>
      <w:proofErr w:type="gramEnd"/>
      <w:r>
        <w:t xml:space="preserve"> to show actuals in the October version.  </w:t>
      </w:r>
    </w:p>
    <w:p w:rsidR="00C809CD" w:rsidRDefault="00C809CD" w:rsidP="00C809CD">
      <w:pPr>
        <w:pStyle w:val="ListParagraph"/>
      </w:pPr>
    </w:p>
    <w:p w:rsidR="00C809CD" w:rsidRPr="00C809CD" w:rsidRDefault="00C809CD" w:rsidP="00C809CD">
      <w:pPr>
        <w:pStyle w:val="ListParagraph"/>
        <w:numPr>
          <w:ilvl w:val="0"/>
          <w:numId w:val="1"/>
        </w:numPr>
        <w:rPr>
          <w:b/>
        </w:rPr>
      </w:pPr>
      <w:r w:rsidRPr="00C809CD">
        <w:rPr>
          <w:b/>
        </w:rPr>
        <w:t>Legislative Budget Board</w:t>
      </w:r>
      <w:r>
        <w:t xml:space="preserve"> </w:t>
      </w:r>
      <w:r>
        <w:rPr>
          <w:b/>
        </w:rPr>
        <w:t xml:space="preserve">(LBB) </w:t>
      </w:r>
      <w:r>
        <w:t>– Agency responsible for assembling all budget requests for the State and serve as the staff for the Legislature.</w:t>
      </w:r>
    </w:p>
    <w:p w:rsidR="00C809CD" w:rsidRPr="00C809CD" w:rsidRDefault="00C809CD" w:rsidP="00C809CD">
      <w:pPr>
        <w:pStyle w:val="ListParagraph"/>
        <w:rPr>
          <w:b/>
        </w:rPr>
      </w:pPr>
    </w:p>
    <w:p w:rsidR="00C809CD" w:rsidRPr="00891E14" w:rsidRDefault="00C809CD" w:rsidP="00C809CD">
      <w:pPr>
        <w:pStyle w:val="ListParagraph"/>
        <w:numPr>
          <w:ilvl w:val="0"/>
          <w:numId w:val="1"/>
        </w:numPr>
        <w:rPr>
          <w:b/>
        </w:rPr>
      </w:pPr>
      <w:r>
        <w:rPr>
          <w:b/>
        </w:rPr>
        <w:t xml:space="preserve">General Revenue (GR) </w:t>
      </w:r>
      <w:r>
        <w:t>– Funding made up of sales tax collections</w:t>
      </w:r>
      <w:r w:rsidR="00891E14">
        <w:t>, royalties, excise taxes, etc. collected by the State.</w:t>
      </w:r>
    </w:p>
    <w:p w:rsidR="00891E14" w:rsidRPr="00891E14" w:rsidRDefault="00891E14" w:rsidP="00891E14">
      <w:pPr>
        <w:pStyle w:val="ListParagraph"/>
        <w:rPr>
          <w:b/>
        </w:rPr>
      </w:pPr>
    </w:p>
    <w:p w:rsidR="00891E14" w:rsidRPr="00891E14" w:rsidRDefault="00891E14" w:rsidP="00C809CD">
      <w:pPr>
        <w:pStyle w:val="ListParagraph"/>
        <w:numPr>
          <w:ilvl w:val="0"/>
          <w:numId w:val="1"/>
        </w:numPr>
        <w:rPr>
          <w:b/>
        </w:rPr>
      </w:pPr>
      <w:r>
        <w:rPr>
          <w:b/>
        </w:rPr>
        <w:t xml:space="preserve">General Revenue Dedicated (GR-D) </w:t>
      </w:r>
      <w:r>
        <w:t>– Also known as Other Educational &amp; General Funding (Other E&amp;G).  Collections of Statutory Tuition ($50/SCH) remitted to the State as part of the budgetary process and returned as part of the State Appropriation to the State Agency,</w:t>
      </w:r>
    </w:p>
    <w:p w:rsidR="00891E14" w:rsidRPr="00891E14" w:rsidRDefault="00891E14" w:rsidP="00891E14">
      <w:pPr>
        <w:pStyle w:val="ListParagraph"/>
        <w:rPr>
          <w:b/>
        </w:rPr>
      </w:pPr>
    </w:p>
    <w:p w:rsidR="00891E14" w:rsidRPr="00891E14" w:rsidRDefault="00891E14" w:rsidP="00C809CD">
      <w:pPr>
        <w:pStyle w:val="ListParagraph"/>
        <w:numPr>
          <w:ilvl w:val="0"/>
          <w:numId w:val="1"/>
        </w:numPr>
        <w:rPr>
          <w:b/>
        </w:rPr>
      </w:pPr>
      <w:r>
        <w:rPr>
          <w:b/>
        </w:rPr>
        <w:t xml:space="preserve">Estimated Board Authorized Tuition Increases </w:t>
      </w:r>
      <w:r>
        <w:t>– Permission to increase GRADUATE tuition by the year over year change printed in the Bill.</w:t>
      </w:r>
    </w:p>
    <w:p w:rsidR="00891E14" w:rsidRPr="00891E14" w:rsidRDefault="00891E14" w:rsidP="00891E14">
      <w:pPr>
        <w:pStyle w:val="ListParagraph"/>
        <w:rPr>
          <w:b/>
        </w:rPr>
      </w:pPr>
    </w:p>
    <w:p w:rsidR="00891E14" w:rsidRPr="004C7E5B" w:rsidRDefault="00891E14" w:rsidP="00C809CD">
      <w:pPr>
        <w:pStyle w:val="ListParagraph"/>
        <w:numPr>
          <w:ilvl w:val="0"/>
          <w:numId w:val="1"/>
        </w:numPr>
        <w:rPr>
          <w:b/>
        </w:rPr>
      </w:pPr>
      <w:r>
        <w:rPr>
          <w:b/>
        </w:rPr>
        <w:t xml:space="preserve">Permanent Endowment Fund </w:t>
      </w:r>
      <w:r>
        <w:t>– Endowment created by the 76</w:t>
      </w:r>
      <w:r w:rsidRPr="00891E14">
        <w:rPr>
          <w:vertAlign w:val="superscript"/>
        </w:rPr>
        <w:t>th</w:t>
      </w:r>
      <w:r>
        <w:t xml:space="preserve"> Legislature that provides annual revenue to UTEP.  The Legislature set aside $25 million to create the endowment.  The source of the funding was the national Tobacco Settlement agreement with the Tobacco Companies and the States Attorney Generals.</w:t>
      </w:r>
    </w:p>
    <w:p w:rsidR="004C7E5B" w:rsidRPr="004C7E5B" w:rsidRDefault="004C7E5B" w:rsidP="004C7E5B">
      <w:pPr>
        <w:pStyle w:val="ListParagraph"/>
        <w:rPr>
          <w:b/>
        </w:rPr>
      </w:pPr>
    </w:p>
    <w:p w:rsidR="004C7E5B" w:rsidRPr="00A16B5A" w:rsidRDefault="004C7E5B" w:rsidP="00A16B5A">
      <w:pPr>
        <w:pStyle w:val="ListParagraph"/>
        <w:numPr>
          <w:ilvl w:val="0"/>
          <w:numId w:val="1"/>
        </w:numPr>
        <w:rPr>
          <w:b/>
        </w:rPr>
      </w:pPr>
      <w:r>
        <w:rPr>
          <w:b/>
        </w:rPr>
        <w:t xml:space="preserve">CORE Research Funding </w:t>
      </w:r>
      <w:r>
        <w:t xml:space="preserve">– </w:t>
      </w:r>
      <w:proofErr w:type="gramStart"/>
      <w:r w:rsidR="000F7AB8">
        <w:t>aka</w:t>
      </w:r>
      <w:r>
        <w:t>:</w:t>
      </w:r>
      <w:proofErr w:type="gramEnd"/>
      <w:r>
        <w:t xml:space="preserve"> CORE Research Support Fund</w:t>
      </w:r>
      <w:r w:rsidR="000F7AB8">
        <w:t xml:space="preserve"> (CSRF)</w:t>
      </w:r>
      <w:r>
        <w:t xml:space="preserve"> – Created by the 84</w:t>
      </w:r>
      <w:r w:rsidRPr="004C7E5B">
        <w:rPr>
          <w:vertAlign w:val="superscript"/>
        </w:rPr>
        <w:t>th</w:t>
      </w:r>
      <w:r>
        <w:t xml:space="preserve"> Legislature</w:t>
      </w:r>
      <w:r w:rsidR="00A16B5A">
        <w:t xml:space="preserve"> (H.B. 1000)</w:t>
      </w:r>
      <w:r>
        <w:t xml:space="preserve"> to provide fundi</w:t>
      </w:r>
      <w:r w:rsidR="00A16B5A">
        <w:t>ng to promote increased research</w:t>
      </w:r>
      <w:r>
        <w:t xml:space="preserve"> capacity at emerging</w:t>
      </w:r>
      <w:r w:rsidR="00A16B5A">
        <w:t xml:space="preserve"> research universities. </w:t>
      </w:r>
      <w:hyperlink r:id="rId5" w:anchor="62.131" w:history="1">
        <w:r w:rsidR="00A16B5A" w:rsidRPr="00CC757C">
          <w:rPr>
            <w:rStyle w:val="Hyperlink"/>
          </w:rPr>
          <w:t>https://statutes.capitol.texas.gov/SOTWDocs/ED/htm/ED.62.htm#62.131</w:t>
        </w:r>
      </w:hyperlink>
    </w:p>
    <w:p w:rsidR="00A16B5A" w:rsidRPr="00A16B5A" w:rsidRDefault="00A16B5A" w:rsidP="00A16B5A">
      <w:pPr>
        <w:pStyle w:val="ListParagraph"/>
        <w:rPr>
          <w:b/>
        </w:rPr>
      </w:pPr>
    </w:p>
    <w:p w:rsidR="00A16B5A" w:rsidRPr="00E40C03" w:rsidRDefault="000F7AB8" w:rsidP="00A16B5A">
      <w:pPr>
        <w:pStyle w:val="ListParagraph"/>
        <w:numPr>
          <w:ilvl w:val="0"/>
          <w:numId w:val="1"/>
        </w:numPr>
        <w:rPr>
          <w:b/>
        </w:rPr>
      </w:pPr>
      <w:r>
        <w:rPr>
          <w:b/>
        </w:rPr>
        <w:t xml:space="preserve">Exceptional/Special Items – </w:t>
      </w:r>
      <w:r w:rsidRPr="000F7AB8">
        <w:t>Specific funding</w:t>
      </w:r>
      <w:r>
        <w:t xml:space="preserve"> for items requested by the Universities.  Examples </w:t>
      </w:r>
      <w:proofErr w:type="gramStart"/>
      <w:r>
        <w:t>include: Collaborative</w:t>
      </w:r>
      <w:proofErr w:type="gramEnd"/>
      <w:r>
        <w:t xml:space="preserve"> for Academic Excellence, Institute for Manufacture, Materials Management, Center for Environmental Resource Management, Etc.</w:t>
      </w:r>
    </w:p>
    <w:p w:rsidR="00E40C03" w:rsidRPr="00E40C03" w:rsidRDefault="00E40C03" w:rsidP="00E40C03">
      <w:pPr>
        <w:pStyle w:val="ListParagraph"/>
        <w:rPr>
          <w:b/>
        </w:rPr>
      </w:pPr>
    </w:p>
    <w:p w:rsidR="00E40C03" w:rsidRPr="00E40C03" w:rsidRDefault="00E40C03" w:rsidP="00E40C03">
      <w:pPr>
        <w:pStyle w:val="ListParagraph"/>
        <w:numPr>
          <w:ilvl w:val="0"/>
          <w:numId w:val="1"/>
        </w:numPr>
        <w:rPr>
          <w:b/>
        </w:rPr>
      </w:pPr>
      <w:r>
        <w:rPr>
          <w:b/>
        </w:rPr>
        <w:t>Formula Funding</w:t>
      </w:r>
      <w:r>
        <w:t xml:space="preserve"> – Calculated GR funding provided for Instructional/Operations based on Semester Credit Hour (SCH) production.  E&amp;G Space support is also provided by the formula based on </w:t>
      </w:r>
      <w:hyperlink r:id="rId6" w:anchor="!/vizhome/THECBGAIFormulasModel-multiyear/_bettersort" w:history="1">
        <w:r w:rsidRPr="00CC757C">
          <w:rPr>
            <w:rStyle w:val="Hyperlink"/>
          </w:rPr>
          <w:t>https://public.tableau.com/profile/dennis.ignatenko#!/vizhome/THECBGAIFormulasModel-multiyear/_bettersort</w:t>
        </w:r>
      </w:hyperlink>
    </w:p>
    <w:p w:rsidR="00E40C03" w:rsidRPr="00E40C03" w:rsidRDefault="00E40C03" w:rsidP="00E40C03">
      <w:pPr>
        <w:pStyle w:val="ListParagraph"/>
        <w:rPr>
          <w:b/>
        </w:rPr>
      </w:pPr>
    </w:p>
    <w:p w:rsidR="00E40C03" w:rsidRPr="00C809CD" w:rsidRDefault="00E40C03" w:rsidP="00E40C03">
      <w:pPr>
        <w:pStyle w:val="ListParagraph"/>
        <w:numPr>
          <w:ilvl w:val="0"/>
          <w:numId w:val="1"/>
        </w:numPr>
        <w:rPr>
          <w:b/>
        </w:rPr>
      </w:pPr>
    </w:p>
    <w:sectPr w:rsidR="00E40C03" w:rsidRPr="00C809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86AE7"/>
    <w:multiLevelType w:val="hybridMultilevel"/>
    <w:tmpl w:val="DA00D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9CD"/>
    <w:rsid w:val="000F7AB8"/>
    <w:rsid w:val="00297ECB"/>
    <w:rsid w:val="00432652"/>
    <w:rsid w:val="004C7E5B"/>
    <w:rsid w:val="00891E14"/>
    <w:rsid w:val="00A16B5A"/>
    <w:rsid w:val="00C809CD"/>
    <w:rsid w:val="00D90E29"/>
    <w:rsid w:val="00E40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8525F5-EFAD-4C04-97C1-1611AF745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09CD"/>
    <w:pPr>
      <w:ind w:left="720"/>
      <w:contextualSpacing/>
    </w:pPr>
  </w:style>
  <w:style w:type="character" w:styleId="Hyperlink">
    <w:name w:val="Hyperlink"/>
    <w:basedOn w:val="DefaultParagraphFont"/>
    <w:uiPriority w:val="99"/>
    <w:unhideWhenUsed/>
    <w:rsid w:val="00A16B5A"/>
    <w:rPr>
      <w:color w:val="0563C1" w:themeColor="hyperlink"/>
      <w:u w:val="single"/>
    </w:rPr>
  </w:style>
  <w:style w:type="paragraph" w:styleId="BalloonText">
    <w:name w:val="Balloon Text"/>
    <w:basedOn w:val="Normal"/>
    <w:link w:val="BalloonTextChar"/>
    <w:uiPriority w:val="99"/>
    <w:semiHidden/>
    <w:unhideWhenUsed/>
    <w:rsid w:val="004326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26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ublic.tableau.com/profile/dennis.ignatenko" TargetMode="External"/><Relationship Id="rId5" Type="http://schemas.openxmlformats.org/officeDocument/2006/relationships/hyperlink" Target="https://statutes.capitol.texas.gov/SOTWDocs/ED/htm/ED.62.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Texas at El Paso</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McGurk, Mark A</dc:creator>
  <cp:keywords/>
  <dc:description/>
  <cp:lastModifiedBy>Dan Clouse</cp:lastModifiedBy>
  <cp:revision>2</cp:revision>
  <cp:lastPrinted>2018-11-27T20:51:00Z</cp:lastPrinted>
  <dcterms:created xsi:type="dcterms:W3CDTF">2019-05-21T15:06:00Z</dcterms:created>
  <dcterms:modified xsi:type="dcterms:W3CDTF">2019-05-21T15:06:00Z</dcterms:modified>
</cp:coreProperties>
</file>