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ED" w:rsidRPr="00144DED" w:rsidRDefault="00144DED" w:rsidP="00A5719E">
      <w:pPr>
        <w:spacing w:after="161" w:line="578" w:lineRule="atLeast"/>
        <w:jc w:val="center"/>
        <w:outlineLvl w:val="1"/>
        <w:rPr>
          <w:rFonts w:ascii="Gadugi" w:eastAsia="Times New Roman" w:hAnsi="Gadugi" w:cs="Times New Roman"/>
          <w:color w:val="222222"/>
          <w:sz w:val="40"/>
          <w:szCs w:val="40"/>
        </w:rPr>
      </w:pPr>
      <w:bookmarkStart w:id="0" w:name="_GoBack"/>
      <w:bookmarkEnd w:id="0"/>
      <w:r w:rsidRPr="00144DED">
        <w:rPr>
          <w:rFonts w:ascii="Gadugi" w:eastAsia="Times New Roman" w:hAnsi="Gadugi" w:cs="Times New Roman"/>
          <w:color w:val="222222"/>
          <w:sz w:val="40"/>
          <w:szCs w:val="40"/>
        </w:rPr>
        <w:t>Sweeping of Vacant Position Salaries</w:t>
      </w:r>
    </w:p>
    <w:p w:rsidR="00144DED" w:rsidRPr="00144DED" w:rsidRDefault="00144DED" w:rsidP="00144DED">
      <w:pPr>
        <w:spacing w:before="100" w:beforeAutospacing="1" w:after="240" w:line="240" w:lineRule="auto"/>
        <w:ind w:left="720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A5719E"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  <w:t>PURPOSE</w:t>
      </w:r>
      <w:r w:rsidRPr="00144DED">
        <w:rPr>
          <w:rFonts w:ascii="Gadugi" w:eastAsia="Times New Roman" w:hAnsi="Gadugi" w:cs="Times New Roman"/>
          <w:b/>
          <w:bCs/>
          <w:color w:val="222222"/>
          <w:sz w:val="21"/>
          <w:szCs w:val="21"/>
        </w:rPr>
        <w:br/>
      </w:r>
      <w:r w:rsidRPr="00144DED">
        <w:rPr>
          <w:rFonts w:ascii="Gadugi" w:eastAsia="Times New Roman" w:hAnsi="Gadugi" w:cs="Times New Roman"/>
          <w:b/>
          <w:bCs/>
          <w:color w:val="222222"/>
          <w:sz w:val="21"/>
          <w:szCs w:val="21"/>
        </w:rPr>
        <w:br/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The 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>primary consideration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 for sweeping salaries is 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to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increase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 the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 efficiency and effectiveness of 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the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university operations by deploying resources to high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 priority areas in a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 strategic manner.  The approach also serves to relieve budget pressures in a climate of tight margins, 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>decreasing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 state support, 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and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pressure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 on tuition increases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.  In summary, this approach helps maintain the institution’s financial health while effectively allocating resources to areas of greatest need.</w:t>
      </w:r>
    </w:p>
    <w:p w:rsidR="00A5719E" w:rsidRDefault="00A5719E" w:rsidP="00144DED">
      <w:pPr>
        <w:spacing w:before="100" w:beforeAutospacing="1" w:after="240" w:line="240" w:lineRule="auto"/>
        <w:ind w:firstLine="720"/>
        <w:rPr>
          <w:rFonts w:ascii="Gadugi" w:eastAsia="Times New Roman" w:hAnsi="Gadugi" w:cs="Times New Roman"/>
          <w:b/>
          <w:bCs/>
          <w:color w:val="222222"/>
          <w:sz w:val="21"/>
          <w:szCs w:val="21"/>
        </w:rPr>
      </w:pPr>
    </w:p>
    <w:p w:rsidR="00144DED" w:rsidRPr="00A5719E" w:rsidRDefault="00144DED" w:rsidP="00144DED">
      <w:pPr>
        <w:spacing w:before="100" w:beforeAutospacing="1" w:after="240" w:line="240" w:lineRule="auto"/>
        <w:ind w:firstLine="720"/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</w:pPr>
      <w:r w:rsidRPr="00A5719E"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  <w:t>AFFECTED FUNDS</w:t>
      </w:r>
    </w:p>
    <w:p w:rsidR="00144DED" w:rsidRDefault="00144DED" w:rsidP="00144DED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Education &amp; General Funds (E&amp;G)</w:t>
      </w:r>
    </w:p>
    <w:p w:rsidR="00144DED" w:rsidRPr="00144DED" w:rsidRDefault="00144DED" w:rsidP="00144DED">
      <w:pPr>
        <w:pStyle w:val="ListParagraph"/>
        <w:numPr>
          <w:ilvl w:val="0"/>
          <w:numId w:val="3"/>
        </w:numPr>
        <w:spacing w:before="100" w:beforeAutospacing="1" w:after="240" w:line="240" w:lineRule="auto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Designated Tuition Funds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br/>
      </w:r>
    </w:p>
    <w:p w:rsidR="00144DED" w:rsidRPr="00A5719E" w:rsidRDefault="00144DED" w:rsidP="00144DED">
      <w:pPr>
        <w:spacing w:before="100" w:beforeAutospacing="1" w:after="240" w:line="240" w:lineRule="auto"/>
        <w:ind w:firstLine="720"/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</w:pPr>
      <w:r w:rsidRPr="00A5719E"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  <w:t>POSITIONS AFFECTED</w:t>
      </w:r>
    </w:p>
    <w:p w:rsidR="00144DED" w:rsidRDefault="00144DED" w:rsidP="00144DED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Admini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t>strative and Professional (A&amp;P)</w:t>
      </w:r>
    </w:p>
    <w:p w:rsidR="00144DED" w:rsidRPr="00144DED" w:rsidRDefault="00144DED" w:rsidP="00144DED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Classified (exempt and non-exempt)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br/>
      </w:r>
    </w:p>
    <w:p w:rsidR="00144DED" w:rsidRDefault="00144DED" w:rsidP="00144DED">
      <w:pPr>
        <w:spacing w:before="100" w:beforeAutospacing="1" w:after="240" w:line="240" w:lineRule="auto"/>
        <w:ind w:left="720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A5719E"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  <w:t>PROCEDURE TO SWEEP FUNDS</w:t>
      </w:r>
      <w:r w:rsidRPr="00A5719E"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  <w:br/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br/>
      </w:r>
      <w:r>
        <w:rPr>
          <w:rFonts w:ascii="Gadugi" w:eastAsia="Times New Roman" w:hAnsi="Gadugi" w:cs="Times New Roman"/>
          <w:color w:val="222222"/>
          <w:sz w:val="21"/>
          <w:szCs w:val="21"/>
        </w:rPr>
        <w:t xml:space="preserve">Any available balance in PeopleSoft for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A&amp;P and classified positions will be swept 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t>each month by the Budget &amp; Personnel Services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 to 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t xml:space="preserve">an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institutional reserve 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t>cost center under the Division of the Vice-President for Business Affairs.  Budget &amp; Personnel Services will also analyze which departments have hired</w:t>
      </w:r>
      <w:r w:rsidR="00A5719E">
        <w:rPr>
          <w:rFonts w:ascii="Gadugi" w:eastAsia="Times New Roman" w:hAnsi="Gadugi" w:cs="Times New Roman"/>
          <w:color w:val="222222"/>
          <w:sz w:val="21"/>
          <w:szCs w:val="21"/>
        </w:rPr>
        <w:t xml:space="preserve"> previously vacant positions and allocate the necessary funds to each department to avoid overdrafts.</w:t>
      </w:r>
    </w:p>
    <w:p w:rsidR="00144DED" w:rsidRPr="00144DED" w:rsidRDefault="00144DED" w:rsidP="00144DED">
      <w:pPr>
        <w:spacing w:before="100" w:beforeAutospacing="1" w:after="240" w:line="240" w:lineRule="auto"/>
        <w:ind w:left="720"/>
        <w:rPr>
          <w:rFonts w:ascii="Gadugi" w:eastAsia="Times New Roman" w:hAnsi="Gadugi" w:cs="Times New Roman"/>
          <w:color w:val="222222"/>
          <w:sz w:val="21"/>
          <w:szCs w:val="21"/>
        </w:rPr>
      </w:pP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br/>
      </w:r>
      <w:r w:rsidRPr="00A5719E">
        <w:rPr>
          <w:rFonts w:ascii="Gadugi" w:eastAsia="Times New Roman" w:hAnsi="Gadugi" w:cs="Times New Roman"/>
          <w:b/>
          <w:bCs/>
          <w:color w:val="222222"/>
          <w:sz w:val="24"/>
          <w:szCs w:val="24"/>
        </w:rPr>
        <w:t>PERMITED USES OF SALARY SAVINGS</w:t>
      </w:r>
      <w:r w:rsidRPr="00144DED">
        <w:rPr>
          <w:rFonts w:ascii="Gadugi" w:eastAsia="Times New Roman" w:hAnsi="Gadugi" w:cs="Times New Roman"/>
          <w:b/>
          <w:bCs/>
          <w:color w:val="222222"/>
          <w:sz w:val="21"/>
          <w:szCs w:val="21"/>
        </w:rPr>
        <w:br/>
      </w:r>
      <w:r w:rsidRPr="00144DED">
        <w:rPr>
          <w:rFonts w:ascii="Gadugi" w:eastAsia="Times New Roman" w:hAnsi="Gadugi" w:cs="Times New Roman"/>
          <w:b/>
          <w:bCs/>
          <w:color w:val="222222"/>
          <w:sz w:val="21"/>
          <w:szCs w:val="21"/>
        </w:rPr>
        <w:br/>
      </w:r>
      <w:r>
        <w:rPr>
          <w:rFonts w:ascii="Gadugi" w:eastAsia="Times New Roman" w:hAnsi="Gadugi" w:cs="Times New Roman"/>
          <w:color w:val="222222"/>
          <w:sz w:val="21"/>
          <w:szCs w:val="21"/>
        </w:rPr>
        <w:t xml:space="preserve">Budget &amp; Personnel Services may reallocate 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>salary saving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t>s</w:t>
      </w:r>
      <w:r w:rsidRPr="00144DED">
        <w:rPr>
          <w:rFonts w:ascii="Gadugi" w:eastAsia="Times New Roman" w:hAnsi="Gadugi" w:cs="Times New Roman"/>
          <w:color w:val="222222"/>
          <w:sz w:val="21"/>
          <w:szCs w:val="21"/>
        </w:rPr>
        <w:t xml:space="preserve"> to address critica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t xml:space="preserve">l needs essential to operations. </w:t>
      </w:r>
      <w:r>
        <w:rPr>
          <w:rFonts w:ascii="Gadugi" w:eastAsia="Times New Roman" w:hAnsi="Gadugi" w:cs="Times New Roman"/>
          <w:color w:val="222222"/>
          <w:sz w:val="21"/>
          <w:szCs w:val="21"/>
        </w:rPr>
        <w:br/>
      </w:r>
    </w:p>
    <w:p w:rsidR="00C72C75" w:rsidRPr="00144DED" w:rsidRDefault="00C72C75">
      <w:pPr>
        <w:rPr>
          <w:rFonts w:ascii="Gadugi" w:hAnsi="Gadugi"/>
        </w:rPr>
      </w:pPr>
    </w:p>
    <w:sectPr w:rsidR="00C72C75" w:rsidRPr="00144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025C5"/>
    <w:multiLevelType w:val="hybridMultilevel"/>
    <w:tmpl w:val="4CB05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A83C6B"/>
    <w:multiLevelType w:val="hybridMultilevel"/>
    <w:tmpl w:val="44586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4E3BC0"/>
    <w:multiLevelType w:val="hybridMultilevel"/>
    <w:tmpl w:val="009A5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01584"/>
    <w:multiLevelType w:val="multilevel"/>
    <w:tmpl w:val="6014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ED"/>
    <w:rsid w:val="00144DED"/>
    <w:rsid w:val="006768CF"/>
    <w:rsid w:val="00A5719E"/>
    <w:rsid w:val="00C7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EF1B0-774D-482F-B1DD-C29154DE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4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4D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44DED"/>
    <w:rPr>
      <w:b/>
      <w:bCs/>
    </w:rPr>
  </w:style>
  <w:style w:type="paragraph" w:styleId="ListParagraph">
    <w:name w:val="List Paragraph"/>
    <w:basedOn w:val="Normal"/>
    <w:uiPriority w:val="34"/>
    <w:qFormat/>
    <w:rsid w:val="00144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Daisy T</dc:creator>
  <cp:keywords/>
  <dc:description/>
  <cp:lastModifiedBy>Dominguez, Limara M</cp:lastModifiedBy>
  <cp:revision>2</cp:revision>
  <cp:lastPrinted>2019-03-22T16:27:00Z</cp:lastPrinted>
  <dcterms:created xsi:type="dcterms:W3CDTF">2019-03-22T16:39:00Z</dcterms:created>
  <dcterms:modified xsi:type="dcterms:W3CDTF">2019-03-22T16:39:00Z</dcterms:modified>
</cp:coreProperties>
</file>